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A1637" w14:textId="77777777" w:rsidR="00866A41" w:rsidRPr="00E7555A" w:rsidRDefault="00866A41" w:rsidP="00866A41">
      <w:pPr>
        <w:jc w:val="both"/>
        <w:rPr>
          <w:sz w:val="28"/>
          <w:szCs w:val="28"/>
        </w:rPr>
      </w:pPr>
    </w:p>
    <w:tbl>
      <w:tblPr>
        <w:tblStyle w:val="ad"/>
        <w:tblW w:type="auto" w:w="0"/>
        <w:jc w:val="left"/>
        <w:tblLook w:firstColumn="1" w:firstRow="1" w:lastColumn="0" w:lastRow="0" w:noHBand="0" w:noVBand="1" w:val="04A0"/>
        <w:tblLayout w:type="fixed"/>
      </w:tblPr>
      <w:tblGrid>
        <w:gridCol w:w="6345"/>
        <w:gridCol w:w="7938"/>
      </w:tblGrid>
      <w:tr>
        <w:tc>
          <w:tcPr>
            <w:tcW w:type="dxa" w:w="6345"/>
            <w:vAlign w:val="center"/>
            <w:tcMar>
              <w:top w:w="80" w:type="dxa"/>
              <w:start w:w="100" w:type="dxa"/>
              <w:bottom w:w="80" w:type="dxa"/>
              <w:end w:w="100" w:type="dxa"/>
            </w:tcMar>
          </w:tcPr>
          <w:p>
            <w:pPr>
              <w:keepLines w:val="0"/>
              <w:spacing w:before="0" w:after="0" w:line="240" w:lineRule="auto"/>
              <w:jc w:val="left"/>
            </w:pPr>
            <w:r>
              <w:rPr>
                <w:rFonts w:ascii="Times New Roman" w:hAnsi="Times New Roman" w:eastAsia="Times New Roman" w:cs="Times New Roman"/>
                <w:b/>
                <w:sz w:val="24"/>
                <w:lang w:val="kk-KZ" w:eastAsia="kk-KZ"/>
              </w:rPr>
              <w:t>Қаржы мониторингі субъектісінің санаты</w:t>
            </w:r>
          </w:p>
        </w:tc>
        <w:tc>
          <w:tcPr>
            <w:tcW w:type="dxa" w:w="7938"/>
            <w:vAlign w:val="center"/>
            <w:tcMar>
              <w:top w:w="80" w:type="dxa"/>
              <w:start w:w="100" w:type="dxa"/>
              <w:bottom w:w="80" w:type="dxa"/>
              <w:end w:w="100" w:type="dxa"/>
            </w:tcMar>
          </w:tcPr>
          <w:p>
            <w:pPr>
              <w:keepLines w:val="0"/>
              <w:spacing w:before="0" w:after="0" w:line="240" w:lineRule="auto"/>
              <w:jc w:val="left"/>
            </w:pPr>
            <w:r>
              <w:rPr>
                <w:rFonts w:ascii="Times New Roman" w:hAnsi="Times New Roman" w:eastAsia="Times New Roman" w:cs="Times New Roman"/>
                <w:b/>
                <w:sz w:val="24"/>
                <w:lang w:val="kk-KZ" w:eastAsia="kk-KZ"/>
              </w:rPr>
              <w:t>ЭҚЖЖ коды және атауы</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Банкаралық ақша аударымдары жүйесінің операторын немесе операциялық орталығын, сондай-ақ айрықша қызметі банкноттарды, монеталарды және құндылықтарды инкассациялау болып табылатын заңды тұлғаларды қоспағанда, банктер, Қазақстан Республикасының бейрезидент-банктерінің филиалдары, банк операцияларының жекелеген түрлерін жүзеге асыратын ұйымдар</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64191</w:t>
            </w:r>
            <w:r>
              <w:rPr>
                <w:rFonts w:ascii="Times New Roman" w:hAnsi="Times New Roman" w:eastAsia="Times New Roman" w:cs="Times New Roman"/>
                <w:sz w:val="24"/>
                <w:lang w:val="kk-KZ" w:eastAsia="kk-KZ"/>
              </w:rPr>
              <w:t xml:space="preserve"> – Ұлттық даму институты және оның еншілес лизинг беруші ұйымы болып табылатын банктен басқа банктердің қызметі;</w:t>
            </w:r>
          </w:p>
          <w:p>
            <w:pPr>
              <w:keepLines w:val="0"/>
              <w:spacing w:before="0" w:after="0" w:line="240" w:lineRule="auto"/>
              <w:jc w:val="left"/>
            </w:pPr>
            <w:r>
              <w:rPr>
                <w:rFonts w:ascii="Times New Roman" w:hAnsi="Times New Roman" w:eastAsia="Times New Roman" w:cs="Times New Roman"/>
                <w:sz w:val="24"/>
                <w:lang w:val="kk-KZ" w:eastAsia="kk-KZ"/>
              </w:rPr>
              <w:t>64929</w:t>
            </w:r>
            <w:r>
              <w:rPr>
                <w:rFonts w:ascii="Times New Roman" w:hAnsi="Times New Roman" w:eastAsia="Times New Roman" w:cs="Times New Roman"/>
                <w:sz w:val="24"/>
                <w:lang w:val="kk-KZ" w:eastAsia="kk-KZ"/>
              </w:rPr>
              <w:t xml:space="preserve"> – Басқа топтамаларға енгізілмеген, кредит берудің өзге де түрлері;</w:t>
            </w:r>
          </w:p>
          <w:p>
            <w:pPr>
              <w:keepLines w:val="0"/>
              <w:spacing w:before="0" w:after="0" w:line="240" w:lineRule="auto"/>
              <w:jc w:val="left"/>
            </w:pPr>
            <w:r>
              <w:rPr>
                <w:rFonts w:ascii="Times New Roman" w:hAnsi="Times New Roman" w:eastAsia="Times New Roman" w:cs="Times New Roman"/>
                <w:sz w:val="24"/>
                <w:lang w:val="kk-KZ" w:eastAsia="kk-KZ"/>
              </w:rPr>
              <w:t>66122</w:t>
            </w:r>
            <w:r>
              <w:rPr>
                <w:rFonts w:ascii="Times New Roman" w:hAnsi="Times New Roman" w:eastAsia="Times New Roman" w:cs="Times New Roman"/>
                <w:sz w:val="24"/>
                <w:lang w:val="kk-KZ" w:eastAsia="kk-KZ"/>
              </w:rPr>
              <w:t xml:space="preserve"> – Ұлттық қордың активтерін, Ұлттық Банктің алтын-валюта активтерін, зейнетақы активтерін басқаруға байланысты бағалы қағаздар нарығындағы брокерлік және дилерлік қызметті қоспағанда, бағалы қағаздармен және тауарлармен мәмілелер бойынша брокерлік қызмет.</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Өз қызметін тауар биржасында жүзеге асыратын және биржалық тауарлармен мәмілелер жасайтын биржалар, биржалық брокерлер, сондай-ақ тауар биржаларының клирингтік орталықтары, қаржы құралдарымен мәмілелер бойынша клирингтік қызметті жүзеге асыратын ұйымдар</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66111</w:t>
            </w:r>
            <w:r>
              <w:rPr>
                <w:rFonts w:ascii="Times New Roman" w:hAnsi="Times New Roman" w:eastAsia="Times New Roman" w:cs="Times New Roman"/>
                <w:sz w:val="24"/>
                <w:lang w:val="kk-KZ" w:eastAsia="kk-KZ"/>
              </w:rPr>
              <w:t xml:space="preserve"> – Тауар биржаларының қызметі;</w:t>
            </w:r>
          </w:p>
          <w:p>
            <w:pPr>
              <w:keepLines w:val="0"/>
              <w:spacing w:before="0" w:after="0" w:line="240" w:lineRule="auto"/>
              <w:jc w:val="left"/>
            </w:pPr>
            <w:r>
              <w:rPr>
                <w:rFonts w:ascii="Times New Roman" w:hAnsi="Times New Roman" w:eastAsia="Times New Roman" w:cs="Times New Roman"/>
                <w:sz w:val="24"/>
                <w:lang w:val="kk-KZ" w:eastAsia="kk-KZ"/>
              </w:rPr>
              <w:t>66112</w:t>
            </w:r>
            <w:r>
              <w:rPr>
                <w:rFonts w:ascii="Times New Roman" w:hAnsi="Times New Roman" w:eastAsia="Times New Roman" w:cs="Times New Roman"/>
                <w:sz w:val="24"/>
                <w:lang w:val="kk-KZ" w:eastAsia="kk-KZ"/>
              </w:rPr>
              <w:t xml:space="preserve"> – Қаржы нарықтарын басқарумен байланысты қызмет;</w:t>
            </w:r>
          </w:p>
          <w:p>
            <w:pPr>
              <w:keepLines w:val="0"/>
              <w:spacing w:before="0" w:after="0" w:line="240" w:lineRule="auto"/>
              <w:jc w:val="left"/>
            </w:pPr>
            <w:r>
              <w:rPr>
                <w:rFonts w:ascii="Times New Roman" w:hAnsi="Times New Roman" w:eastAsia="Times New Roman" w:cs="Times New Roman"/>
                <w:sz w:val="24"/>
                <w:lang w:val="kk-KZ" w:eastAsia="kk-KZ"/>
              </w:rPr>
              <w:t>66113</w:t>
            </w:r>
            <w:r>
              <w:rPr>
                <w:rFonts w:ascii="Times New Roman" w:hAnsi="Times New Roman" w:eastAsia="Times New Roman" w:cs="Times New Roman"/>
                <w:sz w:val="24"/>
                <w:lang w:val="kk-KZ" w:eastAsia="kk-KZ"/>
              </w:rPr>
              <w:t xml:space="preserve"> – Бағалы қағаздар ұстаушылар және шаруашылық серіктестігіне қатысушылардың тізілімдері жүйесін жүргізу бойынша қызмет;</w:t>
            </w:r>
          </w:p>
          <w:p>
            <w:pPr>
              <w:keepLines w:val="0"/>
              <w:spacing w:before="0" w:after="0" w:line="240" w:lineRule="auto"/>
              <w:jc w:val="left"/>
            </w:pPr>
            <w:r>
              <w:rPr>
                <w:rFonts w:ascii="Times New Roman" w:hAnsi="Times New Roman" w:eastAsia="Times New Roman" w:cs="Times New Roman"/>
                <w:sz w:val="24"/>
                <w:lang w:val="kk-KZ" w:eastAsia="kk-KZ"/>
              </w:rPr>
              <w:t>66121</w:t>
            </w:r>
            <w:r>
              <w:rPr>
                <w:rFonts w:ascii="Times New Roman" w:hAnsi="Times New Roman" w:eastAsia="Times New Roman" w:cs="Times New Roman"/>
                <w:sz w:val="24"/>
                <w:lang w:val="kk-KZ" w:eastAsia="kk-KZ"/>
              </w:rPr>
              <w:t xml:space="preserve"> – Ұлттық қордың активтерін, Ұлттық Банктің алтын-валюта активтерін, зейнетақы активтерін басқаруға байланысты брокерлік және дилерлік қызмет;</w:t>
            </w:r>
          </w:p>
          <w:p>
            <w:pPr>
              <w:keepLines w:val="0"/>
              <w:spacing w:before="0" w:after="0" w:line="240" w:lineRule="auto"/>
              <w:jc w:val="left"/>
            </w:pPr>
            <w:r>
              <w:rPr>
                <w:rFonts w:ascii="Times New Roman" w:hAnsi="Times New Roman" w:eastAsia="Times New Roman" w:cs="Times New Roman"/>
                <w:sz w:val="24"/>
                <w:lang w:val="kk-KZ" w:eastAsia="kk-KZ"/>
              </w:rPr>
              <w:t>66122</w:t>
            </w:r>
            <w:r>
              <w:rPr>
                <w:rFonts w:ascii="Times New Roman" w:hAnsi="Times New Roman" w:eastAsia="Times New Roman" w:cs="Times New Roman"/>
                <w:sz w:val="24"/>
                <w:lang w:val="kk-KZ" w:eastAsia="kk-KZ"/>
              </w:rPr>
              <w:t xml:space="preserve"> – Ұлттық қордың активтерін, Ұлттық Банктің алтын-валюта активтерін, зейнетақы активтерін басқаруға байланысты бағалы қағаздар нарығындағы брокерлік және дилерлік қызметті қоспағанда, бағалы қағаздармен және тауарлармен мәмілелер бойынша брокерлік қызмет.</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бейрезиденттері-сақтандыру (қайта сақтандыру) ұйымдарының филиалдары, Қазақстан Республикасының бейрезиденттері-сақтандыру брокерлерінің филиалдары</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65112</w:t>
            </w:r>
            <w:r>
              <w:rPr>
                <w:rFonts w:ascii="Times New Roman" w:hAnsi="Times New Roman" w:eastAsia="Times New Roman" w:cs="Times New Roman"/>
                <w:sz w:val="24"/>
                <w:lang w:val="kk-KZ" w:eastAsia="kk-KZ"/>
              </w:rPr>
              <w:t xml:space="preserve"> – Өмірді мемлекеттік емес сақтандыру;</w:t>
            </w:r>
          </w:p>
          <w:p>
            <w:pPr>
              <w:keepLines w:val="0"/>
              <w:spacing w:before="0" w:after="0" w:line="240" w:lineRule="auto"/>
              <w:jc w:val="left"/>
            </w:pPr>
            <w:r>
              <w:rPr>
                <w:rFonts w:ascii="Times New Roman" w:hAnsi="Times New Roman" w:eastAsia="Times New Roman" w:cs="Times New Roman"/>
                <w:sz w:val="24"/>
                <w:lang w:val="kk-KZ" w:eastAsia="kk-KZ"/>
              </w:rPr>
              <w:t>65122</w:t>
            </w:r>
            <w:r>
              <w:rPr>
                <w:rFonts w:ascii="Times New Roman" w:hAnsi="Times New Roman" w:eastAsia="Times New Roman" w:cs="Times New Roman"/>
                <w:sz w:val="24"/>
                <w:lang w:val="kk-KZ" w:eastAsia="kk-KZ"/>
              </w:rPr>
              <w:t xml:space="preserve"> – Зиянды мемлекеттік емес сақтандыру;</w:t>
            </w:r>
          </w:p>
          <w:p>
            <w:pPr>
              <w:keepLines w:val="0"/>
              <w:spacing w:before="0" w:after="0" w:line="240" w:lineRule="auto"/>
              <w:jc w:val="left"/>
            </w:pPr>
            <w:r>
              <w:rPr>
                <w:rFonts w:ascii="Times New Roman" w:hAnsi="Times New Roman" w:eastAsia="Times New Roman" w:cs="Times New Roman"/>
                <w:sz w:val="24"/>
                <w:lang w:val="kk-KZ" w:eastAsia="kk-KZ"/>
              </w:rPr>
              <w:t>65200</w:t>
            </w:r>
            <w:r>
              <w:rPr>
                <w:rFonts w:ascii="Times New Roman" w:hAnsi="Times New Roman" w:eastAsia="Times New Roman" w:cs="Times New Roman"/>
                <w:sz w:val="24"/>
                <w:lang w:val="kk-KZ" w:eastAsia="kk-KZ"/>
              </w:rPr>
              <w:t xml:space="preserve"> – Қайта сақтандыру;</w:t>
            </w:r>
          </w:p>
          <w:p>
            <w:pPr>
              <w:keepLines w:val="0"/>
              <w:spacing w:before="0" w:after="0" w:line="240" w:lineRule="auto"/>
              <w:jc w:val="left"/>
            </w:pPr>
            <w:r>
              <w:rPr>
                <w:rFonts w:ascii="Times New Roman" w:hAnsi="Times New Roman" w:eastAsia="Times New Roman" w:cs="Times New Roman"/>
                <w:sz w:val="24"/>
                <w:lang w:val="kk-KZ" w:eastAsia="kk-KZ"/>
              </w:rPr>
              <w:t>69201</w:t>
            </w:r>
            <w:r>
              <w:rPr>
                <w:rFonts w:ascii="Times New Roman" w:hAnsi="Times New Roman" w:eastAsia="Times New Roman" w:cs="Times New Roman"/>
                <w:sz w:val="24"/>
                <w:lang w:val="kk-KZ" w:eastAsia="kk-KZ"/>
              </w:rPr>
              <w:t xml:space="preserve"> – Қаржылық ревизия (аудит) жүргізу бойынша қызмет.</w:t>
            </w:r>
          </w:p>
        </w:tc>
      </w:tr>
    </w:tbl>
    <w:p>
      <w:pPr>
        <w:pageBreakBefore/>
        <w:spacing w:before="0" w:after="0" w:line="20" w:lineRule="exact"/>
      </w:pPr>
      <w:r>
        <w:rPr>
          <w:sz w:val="2"/>
        </w:rPr>
        <w:t>​</w:t>
      </w:r>
    </w:p>
    <w:tbl>
      <w:tblPr>
        <w:tblStyle w:val="ad"/>
        <w:tblW w:type="auto" w:w="0"/>
        <w:jc w:val="left"/>
        <w:tblLook w:firstColumn="1" w:firstRow="1" w:lastColumn="0" w:lastRow="0" w:noHBand="0" w:noVBand="1" w:val="04A0"/>
        <w:tblLayout w:type="fixed"/>
      </w:tblPr>
      <w:tblGrid>
        <w:gridCol w:w="6345"/>
        <w:gridCol w:w="7938"/>
      </w:tblGrid>
      <w:tr>
        <w:tc>
          <w:tcPr>
            <w:tcW w:type="dxa" w:w="6345"/>
            <w:vAlign w:val="center"/>
            <w:tcMar>
              <w:top w:w="80" w:type="dxa"/>
              <w:start w:w="100" w:type="dxa"/>
              <w:bottom w:w="80" w:type="dxa"/>
              <w:end w:w="100" w:type="dxa"/>
            </w:tcMar>
          </w:tcPr>
          <w:p>
            <w:pPr>
              <w:keepLines w:val="0"/>
              <w:spacing w:before="0" w:after="0" w:line="240" w:lineRule="auto"/>
              <w:jc w:val="left"/>
            </w:pPr>
            <w:r>
              <w:rPr>
                <w:rFonts w:ascii="Times New Roman" w:hAnsi="Times New Roman" w:eastAsia="Times New Roman" w:cs="Times New Roman"/>
                <w:b/>
                <w:sz w:val="24"/>
                <w:lang w:val="kk-KZ" w:eastAsia="kk-KZ"/>
              </w:rPr>
              <w:t>Қаржы мониторингі субъектісінің санаты</w:t>
            </w:r>
          </w:p>
        </w:tc>
        <w:tc>
          <w:tcPr>
            <w:tcW w:type="dxa" w:w="7938"/>
            <w:vAlign w:val="center"/>
            <w:tcMar>
              <w:top w:w="80" w:type="dxa"/>
              <w:start w:w="100" w:type="dxa"/>
              <w:bottom w:w="80" w:type="dxa"/>
              <w:end w:w="100" w:type="dxa"/>
            </w:tcMar>
          </w:tcPr>
          <w:p>
            <w:pPr>
              <w:keepLines w:val="0"/>
              <w:spacing w:before="0" w:after="0" w:line="240" w:lineRule="auto"/>
              <w:jc w:val="left"/>
            </w:pPr>
            <w:r>
              <w:rPr>
                <w:rFonts w:ascii="Times New Roman" w:hAnsi="Times New Roman" w:eastAsia="Times New Roman" w:cs="Times New Roman"/>
                <w:b/>
                <w:sz w:val="24"/>
                <w:lang w:val="kk-KZ" w:eastAsia="kk-KZ"/>
              </w:rPr>
              <w:t>ЭҚЖЖ коды және атауы</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Бағалы қағаздар нарығының кәсіби қатысушылары, орталық депозитарий</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66122</w:t>
            </w:r>
            <w:r>
              <w:rPr>
                <w:rFonts w:ascii="Times New Roman" w:hAnsi="Times New Roman" w:eastAsia="Times New Roman" w:cs="Times New Roman"/>
                <w:sz w:val="24"/>
                <w:lang w:val="kk-KZ" w:eastAsia="kk-KZ"/>
              </w:rPr>
              <w:t xml:space="preserve"> – Ұлттық қордың активтерін, Ұлттық Банктің алтын-валюта активтерін, зейнетақы активтерін басқаруға байланысты бағалы қағаздар нарығындағы брокерлік және дилерлік қызметті қоспағанда, бағалы қағаздармен және тауарлармен мәмілелер бойынша брокерлік қызмет.</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Ақшамен және (немесе) өзге мүлікпен нотариаттық іс-қимылды жүзеге асыратын нотариустар</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69102</w:t>
            </w:r>
            <w:r>
              <w:rPr>
                <w:rFonts w:ascii="Times New Roman" w:hAnsi="Times New Roman" w:eastAsia="Times New Roman" w:cs="Times New Roman"/>
                <w:sz w:val="24"/>
                <w:lang w:val="kk-KZ" w:eastAsia="kk-KZ"/>
              </w:rPr>
              <w:t xml:space="preserve"> – Нотариалдық қызмет.</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Адвокаттар, заң консультанттары және заң мәселелері бойынша басқа да тәуелсіз мамандар – КЖ/ТҚ/ЖҚҚТҚҚ туралы заңның 3-бабы 1-тармағының 7) тармақшасында көрсетілген қызметтерге қатысты клиенттің атынан немесе оның тапсырмасы бойынша ақшамен және (немесе) өзге мүлікпен операцияларға қатысатын жағдайларда</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69101</w:t>
            </w:r>
            <w:r>
              <w:rPr>
                <w:rFonts w:ascii="Times New Roman" w:hAnsi="Times New Roman" w:eastAsia="Times New Roman" w:cs="Times New Roman"/>
                <w:sz w:val="24"/>
                <w:lang w:val="kk-KZ" w:eastAsia="kk-KZ"/>
              </w:rPr>
              <w:t xml:space="preserve"> – Адвокаттық қызмет;</w:t>
            </w:r>
          </w:p>
          <w:p>
            <w:pPr>
              <w:keepLines w:val="0"/>
              <w:spacing w:before="0" w:after="0" w:line="240" w:lineRule="auto"/>
              <w:jc w:val="left"/>
            </w:pPr>
            <w:r>
              <w:rPr>
                <w:rFonts w:ascii="Times New Roman" w:hAnsi="Times New Roman" w:eastAsia="Times New Roman" w:cs="Times New Roman"/>
                <w:sz w:val="24"/>
                <w:lang w:val="kk-KZ" w:eastAsia="kk-KZ"/>
              </w:rPr>
              <w:t>69102</w:t>
            </w:r>
            <w:r>
              <w:rPr>
                <w:rFonts w:ascii="Times New Roman" w:hAnsi="Times New Roman" w:eastAsia="Times New Roman" w:cs="Times New Roman"/>
                <w:sz w:val="24"/>
                <w:lang w:val="kk-KZ" w:eastAsia="kk-KZ"/>
              </w:rPr>
              <w:t xml:space="preserve"> – Нотариалдық қызмет;</w:t>
            </w:r>
          </w:p>
          <w:p>
            <w:pPr>
              <w:keepLines w:val="0"/>
              <w:spacing w:before="0" w:after="0" w:line="240" w:lineRule="auto"/>
              <w:jc w:val="left"/>
            </w:pPr>
            <w:r>
              <w:rPr>
                <w:rFonts w:ascii="Times New Roman" w:hAnsi="Times New Roman" w:eastAsia="Times New Roman" w:cs="Times New Roman"/>
                <w:sz w:val="24"/>
                <w:lang w:val="kk-KZ" w:eastAsia="kk-KZ"/>
              </w:rPr>
              <w:t>69109</w:t>
            </w:r>
            <w:r>
              <w:rPr>
                <w:rFonts w:ascii="Times New Roman" w:hAnsi="Times New Roman" w:eastAsia="Times New Roman" w:cs="Times New Roman"/>
                <w:sz w:val="24"/>
                <w:lang w:val="kk-KZ" w:eastAsia="kk-KZ"/>
              </w:rPr>
              <w:t xml:space="preserve"> – Құқық саласындағы өзге де қызмет.</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Бухгалтерлік есеп саласында кәсіпкерлік қызметті жүзеге асыратын бухгалтерлік ұйымдар мен кәсіби бухгалтерлер, аудиторлық ұйымдар</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69202</w:t>
            </w:r>
            <w:r>
              <w:rPr>
                <w:rFonts w:ascii="Times New Roman" w:hAnsi="Times New Roman" w:eastAsia="Times New Roman" w:cs="Times New Roman"/>
                <w:sz w:val="24"/>
                <w:lang w:val="kk-KZ" w:eastAsia="kk-KZ"/>
              </w:rPr>
              <w:t xml:space="preserve"> – Шоттарды және бухгалтерлік есеп жасау саласындағы қызмет;</w:t>
            </w:r>
          </w:p>
          <w:p>
            <w:pPr>
              <w:keepLines w:val="0"/>
              <w:spacing w:before="0" w:after="0" w:line="240" w:lineRule="auto"/>
              <w:jc w:val="left"/>
            </w:pPr>
            <w:r>
              <w:rPr>
                <w:rFonts w:ascii="Times New Roman" w:hAnsi="Times New Roman" w:eastAsia="Times New Roman" w:cs="Times New Roman"/>
                <w:sz w:val="24"/>
                <w:lang w:val="kk-KZ" w:eastAsia="kk-KZ"/>
              </w:rPr>
              <w:t>69205</w:t>
            </w:r>
            <w:r>
              <w:rPr>
                <w:rFonts w:ascii="Times New Roman" w:hAnsi="Times New Roman" w:eastAsia="Times New Roman" w:cs="Times New Roman"/>
                <w:sz w:val="24"/>
                <w:lang w:val="kk-KZ" w:eastAsia="kk-KZ"/>
              </w:rPr>
              <w:t xml:space="preserve"> – Ұлттық басқарушы холдинг үшін бухгалтерлік, салық есебі және қазынашылық операциялар саласындағы қызмет.</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Ойын бизнесі мен лотереяларды ұйымдастырушылар</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92000</w:t>
            </w:r>
            <w:r>
              <w:rPr>
                <w:rFonts w:ascii="Times New Roman" w:hAnsi="Times New Roman" w:eastAsia="Times New Roman" w:cs="Times New Roman"/>
                <w:sz w:val="24"/>
                <w:lang w:val="kk-KZ" w:eastAsia="kk-KZ"/>
              </w:rPr>
              <w:t xml:space="preserve"> – Құмар ойындар және бәс тігуді ұйымдастыру бойынша қызмет.</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Микроқаржылық қызметті жүзеге асыратын ұйымдар</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64199</w:t>
            </w:r>
            <w:r>
              <w:rPr>
                <w:rFonts w:ascii="Times New Roman" w:hAnsi="Times New Roman" w:eastAsia="Times New Roman" w:cs="Times New Roman"/>
                <w:sz w:val="24"/>
                <w:lang w:val="kk-KZ" w:eastAsia="kk-KZ"/>
              </w:rPr>
              <w:t xml:space="preserve"> – Өзге несие мекемелерінің ақша делдалдығы;</w:t>
            </w:r>
          </w:p>
          <w:p>
            <w:pPr>
              <w:keepLines w:val="0"/>
              <w:spacing w:before="0" w:after="0" w:line="240" w:lineRule="auto"/>
              <w:jc w:val="left"/>
            </w:pPr>
            <w:r>
              <w:rPr>
                <w:rFonts w:ascii="Times New Roman" w:hAnsi="Times New Roman" w:eastAsia="Times New Roman" w:cs="Times New Roman"/>
                <w:sz w:val="24"/>
                <w:lang w:val="kk-KZ" w:eastAsia="kk-KZ"/>
              </w:rPr>
              <w:t>64921</w:t>
            </w:r>
            <w:r>
              <w:rPr>
                <w:rFonts w:ascii="Times New Roman" w:hAnsi="Times New Roman" w:eastAsia="Times New Roman" w:cs="Times New Roman"/>
                <w:sz w:val="24"/>
                <w:lang w:val="kk-KZ" w:eastAsia="kk-KZ"/>
              </w:rPr>
              <w:t xml:space="preserve"> – Ломбардтар қызметі;</w:t>
            </w:r>
          </w:p>
          <w:p>
            <w:pPr>
              <w:keepLines w:val="0"/>
              <w:spacing w:before="0" w:after="0" w:line="240" w:lineRule="auto"/>
              <w:jc w:val="left"/>
            </w:pPr>
            <w:r>
              <w:rPr>
                <w:rFonts w:ascii="Times New Roman" w:hAnsi="Times New Roman" w:eastAsia="Times New Roman" w:cs="Times New Roman"/>
                <w:sz w:val="24"/>
                <w:lang w:val="kk-KZ" w:eastAsia="kk-KZ"/>
              </w:rPr>
              <w:t>64929</w:t>
            </w:r>
            <w:r>
              <w:rPr>
                <w:rFonts w:ascii="Times New Roman" w:hAnsi="Times New Roman" w:eastAsia="Times New Roman" w:cs="Times New Roman"/>
                <w:sz w:val="24"/>
                <w:lang w:val="kk-KZ" w:eastAsia="kk-KZ"/>
              </w:rPr>
              <w:t xml:space="preserve"> – Басқа топтамаларға енгізілмеген, кредит берудің өзге де түрлері.</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Төлем ұйымдары</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63111</w:t>
            </w:r>
            <w:r>
              <w:rPr>
                <w:rFonts w:ascii="Times New Roman" w:hAnsi="Times New Roman" w:eastAsia="Times New Roman" w:cs="Times New Roman"/>
                <w:sz w:val="24"/>
                <w:lang w:val="kk-KZ" w:eastAsia="kk-KZ"/>
              </w:rPr>
              <w:t xml:space="preserve"> – Серверлік үй-жайларды (деректерді өңдеу орталықтарын) пайдалануға беру жөніндегі қызмет;</w:t>
            </w:r>
          </w:p>
          <w:p>
            <w:pPr>
              <w:keepLines w:val="0"/>
              <w:spacing w:before="0" w:after="0" w:line="240" w:lineRule="auto"/>
              <w:jc w:val="left"/>
            </w:pPr>
            <w:r>
              <w:rPr>
                <w:rFonts w:ascii="Times New Roman" w:hAnsi="Times New Roman" w:eastAsia="Times New Roman" w:cs="Times New Roman"/>
                <w:sz w:val="24"/>
                <w:lang w:val="kk-KZ" w:eastAsia="kk-KZ"/>
              </w:rPr>
              <w:t>64999</w:t>
            </w:r>
            <w:r>
              <w:rPr>
                <w:rFonts w:ascii="Times New Roman" w:hAnsi="Times New Roman" w:eastAsia="Times New Roman" w:cs="Times New Roman"/>
                <w:sz w:val="24"/>
                <w:lang w:val="kk-KZ" w:eastAsia="kk-KZ"/>
              </w:rPr>
              <w:t xml:space="preserve"> – Басқа топтамаларға енгізілмеген сақтандыру және зейнетақымен қамсыздандырудан басқа, қаржылық көрсетілетін қызметтердің басқа да түрлері.</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Лизинг беруші ретінде лизингтік қызметті лицензиясыз жүзеге асыратын дара кәсіпкерлер және заңды тұлғалар</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64911</w:t>
            </w:r>
            <w:r>
              <w:rPr>
                <w:rFonts w:ascii="Times New Roman" w:hAnsi="Times New Roman" w:eastAsia="Times New Roman" w:cs="Times New Roman"/>
                <w:sz w:val="24"/>
                <w:lang w:val="kk-KZ" w:eastAsia="kk-KZ"/>
              </w:rPr>
              <w:t xml:space="preserve"> – Медициналық жабдықтар мен техниканың қаржылық лизингінен басқа қаржылық лизинг;</w:t>
            </w:r>
          </w:p>
          <w:p>
            <w:pPr>
              <w:keepLines w:val="0"/>
              <w:spacing w:before="0" w:after="0" w:line="240" w:lineRule="auto"/>
              <w:jc w:val="left"/>
            </w:pPr>
            <w:r>
              <w:rPr>
                <w:rFonts w:ascii="Times New Roman" w:hAnsi="Times New Roman" w:eastAsia="Times New Roman" w:cs="Times New Roman"/>
                <w:sz w:val="24"/>
                <w:lang w:val="kk-KZ" w:eastAsia="kk-KZ"/>
              </w:rPr>
              <w:t>64912</w:t>
            </w:r>
            <w:r>
              <w:rPr>
                <w:rFonts w:ascii="Times New Roman" w:hAnsi="Times New Roman" w:eastAsia="Times New Roman" w:cs="Times New Roman"/>
                <w:sz w:val="24"/>
                <w:lang w:val="kk-KZ" w:eastAsia="kk-KZ"/>
              </w:rPr>
              <w:t xml:space="preserve"> – Медициналық жабдықтар мен техникалардың қаржылық лизингі.</w:t>
            </w:r>
          </w:p>
        </w:tc>
      </w:tr>
    </w:tbl>
    <w:p>
      <w:pPr>
        <w:pageBreakBefore/>
        <w:spacing w:before="0" w:after="0" w:line="20" w:lineRule="exact"/>
      </w:pPr>
      <w:r>
        <w:rPr>
          <w:sz w:val="2"/>
        </w:rPr>
        <w:t>​</w:t>
      </w:r>
    </w:p>
    <w:tbl>
      <w:tblPr>
        <w:tblStyle w:val="ad"/>
        <w:tblW w:type="auto" w:w="0"/>
        <w:jc w:val="left"/>
        <w:tblLook w:firstColumn="1" w:firstRow="1" w:lastColumn="0" w:lastRow="0" w:noHBand="0" w:noVBand="1" w:val="04A0"/>
        <w:tblLayout w:type="fixed"/>
      </w:tblPr>
      <w:tblGrid>
        <w:gridCol w:w="6345"/>
        <w:gridCol w:w="7938"/>
      </w:tblGrid>
      <w:tr>
        <w:tc>
          <w:tcPr>
            <w:tcW w:type="dxa" w:w="6345"/>
            <w:vAlign w:val="center"/>
            <w:tcMar>
              <w:top w:w="20" w:type="dxa"/>
              <w:start w:w="100" w:type="dxa"/>
              <w:bottom w:w="20" w:type="dxa"/>
              <w:end w:w="100" w:type="dxa"/>
            </w:tcMar>
          </w:tcPr>
          <w:p>
            <w:pPr>
              <w:keepLines w:val="0"/>
              <w:spacing w:before="0" w:after="0" w:line="240" w:lineRule="auto"/>
              <w:jc w:val="left"/>
            </w:pPr>
            <w:r>
              <w:rPr>
                <w:rFonts w:ascii="Times New Roman" w:hAnsi="Times New Roman" w:eastAsia="Times New Roman" w:cs="Times New Roman"/>
                <w:b/>
                <w:sz w:val="24"/>
                <w:lang w:val="kk-KZ" w:eastAsia="kk-KZ"/>
              </w:rPr>
              <w:t>Қаржы мониторингі субъектісінің санаты</w:t>
            </w:r>
          </w:p>
        </w:tc>
        <w:tc>
          <w:tcPr>
            <w:tcW w:type="dxa" w:w="7938"/>
            <w:vAlign w:val="center"/>
            <w:tcMar>
              <w:top w:w="20" w:type="dxa"/>
              <w:start w:w="100" w:type="dxa"/>
              <w:bottom w:w="20" w:type="dxa"/>
              <w:end w:w="100" w:type="dxa"/>
            </w:tcMar>
          </w:tcPr>
          <w:p>
            <w:pPr>
              <w:keepLines w:val="0"/>
              <w:spacing w:before="0" w:after="0" w:line="240" w:lineRule="auto"/>
              <w:jc w:val="left"/>
            </w:pPr>
            <w:r>
              <w:rPr>
                <w:rFonts w:ascii="Times New Roman" w:hAnsi="Times New Roman" w:eastAsia="Times New Roman" w:cs="Times New Roman"/>
                <w:b/>
                <w:sz w:val="24"/>
                <w:lang w:val="kk-KZ" w:eastAsia="kk-KZ"/>
              </w:rPr>
              <w:t>ЭҚЖЖ коды және атауы</w:t>
            </w:r>
          </w:p>
        </w:tc>
      </w:tr>
      <w:tr>
        <w:trPr>
          <w:cantSplit/>
        </w:trPr>
        <w:tc>
          <w:tcPr>
            <w:tcW w:type="dxa" w:w="6345"/>
            <w:vAlign w:val="top"/>
            <w:tcMar>
              <w:top w:w="20" w:type="dxa"/>
              <w:start w:w="100" w:type="dxa"/>
              <w:bottom w:w="2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Бағалы металдармен және асыл тастармен, олардан жасалған зергерлік бұйымдармен операцияларды жүзеге асыратын дара кәсіпкерлер және заңды тұлғалар</w:t>
            </w:r>
          </w:p>
        </w:tc>
        <w:tc>
          <w:tcPr>
            <w:tcW w:type="dxa" w:w="7938"/>
            <w:vAlign w:val="top"/>
            <w:tcMar>
              <w:top w:w="20" w:type="dxa"/>
              <w:start w:w="100" w:type="dxa"/>
              <w:bottom w:w="2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07298</w:t>
            </w:r>
            <w:r>
              <w:rPr>
                <w:rFonts w:ascii="Times New Roman" w:hAnsi="Times New Roman" w:eastAsia="Times New Roman" w:cs="Times New Roman"/>
                <w:sz w:val="24"/>
                <w:lang w:val="kk-KZ" w:eastAsia="kk-KZ"/>
              </w:rPr>
              <w:t xml:space="preserve"> – Бағалы металдар мен сирек кездесетін металл кендерін өндіру;</w:t>
            </w:r>
          </w:p>
          <w:p>
            <w:pPr>
              <w:keepLines w:val="0"/>
              <w:spacing w:before="0" w:after="0" w:line="240" w:lineRule="auto"/>
              <w:jc w:val="left"/>
            </w:pPr>
            <w:r>
              <w:rPr>
                <w:rFonts w:ascii="Times New Roman" w:hAnsi="Times New Roman" w:eastAsia="Times New Roman" w:cs="Times New Roman"/>
                <w:sz w:val="24"/>
                <w:lang w:val="kk-KZ" w:eastAsia="kk-KZ"/>
              </w:rPr>
              <w:t>08995</w:t>
            </w:r>
            <w:r>
              <w:rPr>
                <w:rFonts w:ascii="Times New Roman" w:hAnsi="Times New Roman" w:eastAsia="Times New Roman" w:cs="Times New Roman"/>
                <w:sz w:val="24"/>
                <w:lang w:val="kk-KZ" w:eastAsia="kk-KZ"/>
              </w:rPr>
              <w:t xml:space="preserve"> – Асыл тастар (алмастан басқа) және жартылай асыл тастар, жарқырауық тастар және кәріптас өндіру;</w:t>
            </w:r>
          </w:p>
          <w:p>
            <w:pPr>
              <w:keepLines w:val="0"/>
              <w:spacing w:before="0" w:after="0" w:line="240" w:lineRule="auto"/>
              <w:jc w:val="left"/>
            </w:pPr>
            <w:r>
              <w:rPr>
                <w:rFonts w:ascii="Times New Roman" w:hAnsi="Times New Roman" w:eastAsia="Times New Roman" w:cs="Times New Roman"/>
                <w:sz w:val="24"/>
                <w:lang w:val="kk-KZ" w:eastAsia="kk-KZ"/>
              </w:rPr>
              <w:t>08996</w:t>
            </w:r>
            <w:r>
              <w:rPr>
                <w:rFonts w:ascii="Times New Roman" w:hAnsi="Times New Roman" w:eastAsia="Times New Roman" w:cs="Times New Roman"/>
                <w:sz w:val="24"/>
                <w:lang w:val="kk-KZ" w:eastAsia="kk-KZ"/>
              </w:rPr>
              <w:t xml:space="preserve"> – Алмас өндіру;</w:t>
            </w:r>
          </w:p>
          <w:p>
            <w:pPr>
              <w:keepLines w:val="0"/>
              <w:spacing w:before="0" w:after="0" w:line="240" w:lineRule="auto"/>
              <w:jc w:val="left"/>
            </w:pPr>
            <w:r>
              <w:rPr>
                <w:rFonts w:ascii="Times New Roman" w:hAnsi="Times New Roman" w:eastAsia="Times New Roman" w:cs="Times New Roman"/>
                <w:sz w:val="24"/>
                <w:lang w:val="kk-KZ" w:eastAsia="kk-KZ"/>
              </w:rPr>
              <w:t>24410</w:t>
            </w:r>
            <w:r>
              <w:rPr>
                <w:rFonts w:ascii="Times New Roman" w:hAnsi="Times New Roman" w:eastAsia="Times New Roman" w:cs="Times New Roman"/>
                <w:sz w:val="24"/>
                <w:lang w:val="kk-KZ" w:eastAsia="kk-KZ"/>
              </w:rPr>
              <w:t xml:space="preserve"> – Асыл (бағалы) металдар өндіру;</w:t>
            </w:r>
          </w:p>
          <w:p>
            <w:pPr>
              <w:keepLines w:val="0"/>
              <w:spacing w:before="0" w:after="0" w:line="240" w:lineRule="auto"/>
              <w:jc w:val="left"/>
            </w:pPr>
            <w:r>
              <w:rPr>
                <w:rFonts w:ascii="Times New Roman" w:hAnsi="Times New Roman" w:eastAsia="Times New Roman" w:cs="Times New Roman"/>
                <w:sz w:val="24"/>
                <w:lang w:val="kk-KZ" w:eastAsia="kk-KZ"/>
              </w:rPr>
              <w:t>32120</w:t>
            </w:r>
            <w:r>
              <w:rPr>
                <w:rFonts w:ascii="Times New Roman" w:hAnsi="Times New Roman" w:eastAsia="Times New Roman" w:cs="Times New Roman"/>
                <w:sz w:val="24"/>
                <w:lang w:val="kk-KZ" w:eastAsia="kk-KZ"/>
              </w:rPr>
              <w:t xml:space="preserve"> – Зергерлік және ұқсас бұйымдар өндіру;</w:t>
            </w:r>
          </w:p>
          <w:p>
            <w:pPr>
              <w:keepLines w:val="0"/>
              <w:spacing w:before="0" w:after="0" w:line="240" w:lineRule="auto"/>
              <w:jc w:val="left"/>
            </w:pPr>
            <w:r>
              <w:rPr>
                <w:rFonts w:ascii="Times New Roman" w:hAnsi="Times New Roman" w:eastAsia="Times New Roman" w:cs="Times New Roman"/>
                <w:sz w:val="24"/>
                <w:lang w:val="kk-KZ" w:eastAsia="kk-KZ"/>
              </w:rPr>
              <w:t>32130</w:t>
            </w:r>
            <w:r>
              <w:rPr>
                <w:rFonts w:ascii="Times New Roman" w:hAnsi="Times New Roman" w:eastAsia="Times New Roman" w:cs="Times New Roman"/>
                <w:sz w:val="24"/>
                <w:lang w:val="kk-KZ" w:eastAsia="kk-KZ"/>
              </w:rPr>
              <w:t xml:space="preserve"> – Бижутерия және ұқсас бұйымдар өндіру;</w:t>
            </w:r>
          </w:p>
          <w:p>
            <w:pPr>
              <w:keepLines w:val="0"/>
              <w:spacing w:before="0" w:after="0" w:line="240" w:lineRule="auto"/>
              <w:jc w:val="left"/>
            </w:pPr>
            <w:r>
              <w:rPr>
                <w:rFonts w:ascii="Times New Roman" w:hAnsi="Times New Roman" w:eastAsia="Times New Roman" w:cs="Times New Roman"/>
                <w:sz w:val="24"/>
                <w:lang w:val="kk-KZ" w:eastAsia="kk-KZ"/>
              </w:rPr>
              <w:t>46120</w:t>
            </w:r>
            <w:r>
              <w:rPr>
                <w:rFonts w:ascii="Times New Roman" w:hAnsi="Times New Roman" w:eastAsia="Times New Roman" w:cs="Times New Roman"/>
                <w:sz w:val="24"/>
                <w:lang w:val="kk-KZ" w:eastAsia="kk-KZ"/>
              </w:rPr>
              <w:t xml:space="preserve"> – Отындарды, кендерді, металдар және химиялық заттарды көтерме саудада сату жөніндегі агенттердің қызметі;</w:t>
            </w:r>
          </w:p>
          <w:p>
            <w:pPr>
              <w:keepLines w:val="0"/>
              <w:spacing w:before="0" w:after="0" w:line="240" w:lineRule="auto"/>
              <w:jc w:val="left"/>
            </w:pPr>
            <w:r>
              <w:rPr>
                <w:rFonts w:ascii="Times New Roman" w:hAnsi="Times New Roman" w:eastAsia="Times New Roman" w:cs="Times New Roman"/>
                <w:sz w:val="24"/>
                <w:lang w:val="kk-KZ" w:eastAsia="kk-KZ"/>
              </w:rPr>
              <w:t>46480</w:t>
            </w:r>
            <w:r>
              <w:rPr>
                <w:rFonts w:ascii="Times New Roman" w:hAnsi="Times New Roman" w:eastAsia="Times New Roman" w:cs="Times New Roman"/>
                <w:sz w:val="24"/>
                <w:lang w:val="kk-KZ" w:eastAsia="kk-KZ"/>
              </w:rPr>
              <w:t xml:space="preserve"> – Сағаттарды және зергерлік бұйымдарды көтерме саудада сату;</w:t>
            </w:r>
          </w:p>
          <w:p>
            <w:pPr>
              <w:keepLines w:val="0"/>
              <w:spacing w:before="0" w:after="0" w:line="240" w:lineRule="auto"/>
              <w:jc w:val="left"/>
            </w:pPr>
            <w:r>
              <w:rPr>
                <w:rFonts w:ascii="Times New Roman" w:hAnsi="Times New Roman" w:eastAsia="Times New Roman" w:cs="Times New Roman"/>
                <w:sz w:val="24"/>
                <w:lang w:val="kk-KZ" w:eastAsia="kk-KZ"/>
              </w:rPr>
              <w:t>46724</w:t>
            </w:r>
            <w:r>
              <w:rPr>
                <w:rFonts w:ascii="Times New Roman" w:hAnsi="Times New Roman" w:eastAsia="Times New Roman" w:cs="Times New Roman"/>
                <w:sz w:val="24"/>
                <w:lang w:val="kk-KZ" w:eastAsia="kk-KZ"/>
              </w:rPr>
              <w:t xml:space="preserve"> – Асыл металдарды көтерме саудада сату;</w:t>
            </w:r>
          </w:p>
          <w:p>
            <w:pPr>
              <w:keepLines w:val="0"/>
              <w:spacing w:before="0" w:after="0" w:line="240" w:lineRule="auto"/>
              <w:jc w:val="left"/>
            </w:pPr>
            <w:r>
              <w:rPr>
                <w:rFonts w:ascii="Times New Roman" w:hAnsi="Times New Roman" w:eastAsia="Times New Roman" w:cs="Times New Roman"/>
                <w:sz w:val="24"/>
                <w:lang w:val="kk-KZ" w:eastAsia="kk-KZ"/>
              </w:rPr>
              <w:t>46763</w:t>
            </w:r>
            <w:r>
              <w:rPr>
                <w:rFonts w:ascii="Times New Roman" w:hAnsi="Times New Roman" w:eastAsia="Times New Roman" w:cs="Times New Roman"/>
                <w:sz w:val="24"/>
                <w:lang w:val="kk-KZ" w:eastAsia="kk-KZ"/>
              </w:rPr>
              <w:t xml:space="preserve"> – Асыл тастарды көтерме саудада сату;</w:t>
            </w:r>
          </w:p>
          <w:p>
            <w:pPr>
              <w:keepLines w:val="0"/>
              <w:spacing w:before="0" w:after="0" w:line="240" w:lineRule="auto"/>
              <w:jc w:val="left"/>
            </w:pPr>
            <w:r>
              <w:rPr>
                <w:rFonts w:ascii="Times New Roman" w:hAnsi="Times New Roman" w:eastAsia="Times New Roman" w:cs="Times New Roman"/>
                <w:sz w:val="24"/>
                <w:lang w:val="kk-KZ" w:eastAsia="kk-KZ"/>
              </w:rPr>
              <w:t>47771</w:t>
            </w:r>
            <w:r>
              <w:rPr>
                <w:rFonts w:ascii="Times New Roman" w:hAnsi="Times New Roman" w:eastAsia="Times New Roman" w:cs="Times New Roman"/>
                <w:sz w:val="24"/>
                <w:lang w:val="kk-KZ" w:eastAsia="kk-KZ"/>
              </w:rPr>
              <w:t xml:space="preserve"> – Сауда алаңы 2000 ш.м-ден кем сауда объектілері болып табылатын мамандандырылған дүкендерде сағат және зергерлік бұйымдарды бөлшек саудада сату;</w:t>
            </w:r>
          </w:p>
          <w:p>
            <w:pPr>
              <w:keepLines w:val="0"/>
              <w:spacing w:before="0" w:after="0" w:line="240" w:lineRule="auto"/>
              <w:jc w:val="left"/>
            </w:pPr>
            <w:r>
              <w:rPr>
                <w:rFonts w:ascii="Times New Roman" w:hAnsi="Times New Roman" w:eastAsia="Times New Roman" w:cs="Times New Roman"/>
                <w:sz w:val="24"/>
                <w:lang w:val="kk-KZ" w:eastAsia="kk-KZ"/>
              </w:rPr>
              <w:t>47772</w:t>
            </w:r>
            <w:r>
              <w:rPr>
                <w:rFonts w:ascii="Times New Roman" w:hAnsi="Times New Roman" w:eastAsia="Times New Roman" w:cs="Times New Roman"/>
                <w:sz w:val="24"/>
                <w:lang w:val="kk-KZ" w:eastAsia="kk-KZ"/>
              </w:rPr>
              <w:t xml:space="preserve"> – Сауда алаңы 2000 ш.м-ден астам (2000 ш.м және жоғары) сауда объектілері болып табылатын мамандандырылған дүкендерде сағат және зергерлік бұйымдарды бөлшек саудада сату.</w:t>
            </w:r>
          </w:p>
        </w:tc>
      </w:tr>
      <w:tr>
        <w:trPr>
          <w:cantSplit/>
        </w:trPr>
        <w:tc>
          <w:tcPr>
            <w:tcW w:type="dxa" w:w="6345"/>
            <w:vAlign w:val="top"/>
            <w:tcMar>
              <w:top w:w="20" w:type="dxa"/>
              <w:start w:w="100" w:type="dxa"/>
              <w:bottom w:w="2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Жылжымайтын мүлікті сатып алу-сату мәмілелерін жүзеге асыру кезінде делдалдық қызметтер көрсететін дара кәсіпкерлер және заңды тұлғалар</w:t>
            </w:r>
          </w:p>
        </w:tc>
        <w:tc>
          <w:tcPr>
            <w:tcW w:type="dxa" w:w="7938"/>
            <w:vAlign w:val="top"/>
            <w:tcMar>
              <w:top w:w="20" w:type="dxa"/>
              <w:start w:w="100" w:type="dxa"/>
              <w:bottom w:w="2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68311</w:t>
            </w:r>
            <w:r>
              <w:rPr>
                <w:rFonts w:ascii="Times New Roman" w:hAnsi="Times New Roman" w:eastAsia="Times New Roman" w:cs="Times New Roman"/>
                <w:sz w:val="24"/>
                <w:lang w:val="kk-KZ" w:eastAsia="kk-KZ"/>
              </w:rPr>
              <w:t xml:space="preserve"> – Өндірістік-техникалық мақсаттағы жылжымайтын мүлікті сатып алу-сату және жалға беру кезіндегі делдалдық көрсетілетін қызметтер;</w:t>
            </w:r>
          </w:p>
          <w:p>
            <w:pPr>
              <w:keepLines w:val="0"/>
              <w:spacing w:before="0" w:after="0" w:line="240" w:lineRule="auto"/>
              <w:jc w:val="left"/>
            </w:pPr>
            <w:r>
              <w:rPr>
                <w:rFonts w:ascii="Times New Roman" w:hAnsi="Times New Roman" w:eastAsia="Times New Roman" w:cs="Times New Roman"/>
                <w:sz w:val="24"/>
                <w:lang w:val="kk-KZ" w:eastAsia="kk-KZ"/>
              </w:rPr>
              <w:t>68312</w:t>
            </w:r>
            <w:r>
              <w:rPr>
                <w:rFonts w:ascii="Times New Roman" w:hAnsi="Times New Roman" w:eastAsia="Times New Roman" w:cs="Times New Roman"/>
                <w:sz w:val="24"/>
                <w:lang w:val="kk-KZ" w:eastAsia="kk-KZ"/>
              </w:rPr>
              <w:t xml:space="preserve"> – Өндірістік емес мақсаттағы басқа да жылжымайтын мүлікті сатып алу-сату және жалға беру кезіндегі делдалдық көрсетілетін қызметтер.</w:t>
            </w:r>
          </w:p>
        </w:tc>
      </w:tr>
    </w:tbl>
    <w:p>
      <w:pPr>
        <w:pageBreakBefore/>
        <w:spacing w:before="0" w:after="0" w:line="20" w:lineRule="exact"/>
      </w:pPr>
      <w:r>
        <w:rPr>
          <w:sz w:val="2"/>
        </w:rPr>
        <w:t>​</w:t>
      </w:r>
    </w:p>
    <w:tbl>
      <w:tblPr>
        <w:tblStyle w:val="ad"/>
        <w:tblW w:type="auto" w:w="0"/>
        <w:jc w:val="left"/>
        <w:tblLook w:firstColumn="1" w:firstRow="1" w:lastColumn="0" w:lastRow="0" w:noHBand="0" w:noVBand="1" w:val="04A0"/>
        <w:tblLayout w:type="fixed"/>
      </w:tblPr>
      <w:tblGrid>
        <w:gridCol w:w="6345"/>
        <w:gridCol w:w="7938"/>
      </w:tblGrid>
      <w:tr>
        <w:tc>
          <w:tcPr>
            <w:tcW w:type="dxa" w:w="6345"/>
            <w:vAlign w:val="center"/>
            <w:tcMar>
              <w:top w:w="80" w:type="dxa"/>
              <w:start w:w="100" w:type="dxa"/>
              <w:bottom w:w="80" w:type="dxa"/>
              <w:end w:w="100" w:type="dxa"/>
            </w:tcMar>
          </w:tcPr>
          <w:p>
            <w:pPr>
              <w:keepLines w:val="0"/>
              <w:spacing w:before="0" w:after="0" w:line="240" w:lineRule="auto"/>
              <w:jc w:val="left"/>
            </w:pPr>
            <w:r>
              <w:rPr>
                <w:rFonts w:ascii="Times New Roman" w:hAnsi="Times New Roman" w:eastAsia="Times New Roman" w:cs="Times New Roman"/>
                <w:b/>
                <w:sz w:val="24"/>
                <w:lang w:val="kk-KZ" w:eastAsia="kk-KZ"/>
              </w:rPr>
              <w:t>Қаржы мониторингі субъектісінің санаты</w:t>
            </w:r>
          </w:p>
        </w:tc>
        <w:tc>
          <w:tcPr>
            <w:tcW w:type="dxa" w:w="7938"/>
            <w:vAlign w:val="center"/>
            <w:tcMar>
              <w:top w:w="80" w:type="dxa"/>
              <w:start w:w="100" w:type="dxa"/>
              <w:bottom w:w="80" w:type="dxa"/>
              <w:end w:w="100" w:type="dxa"/>
            </w:tcMar>
          </w:tcPr>
          <w:p>
            <w:pPr>
              <w:keepLines w:val="0"/>
              <w:spacing w:before="0" w:after="0" w:line="240" w:lineRule="auto"/>
              <w:jc w:val="left"/>
            </w:pPr>
            <w:r>
              <w:rPr>
                <w:rFonts w:ascii="Times New Roman" w:hAnsi="Times New Roman" w:eastAsia="Times New Roman" w:cs="Times New Roman"/>
                <w:b/>
                <w:sz w:val="24"/>
                <w:lang w:val="kk-KZ" w:eastAsia="kk-KZ"/>
              </w:rPr>
              <w:t>ЭҚЖЖ коды және атауы</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«Астана» халықаралық қаржы орталығының (бұдан әрі – АХҚО) аумағында Ақшаны жылыстатуға қарсы күрестің қаржылық шараларын әзірлеу тобының (ФАТФ) ұсынымдарына сәйкес АХҚО Қаржылық қызметтер көрсетуді реттеу жөніндегі комитеті уәкілетті органмен келісу бойынша айқындайтын жекелеген қызмет түрлерін жүзеге асыратын АХҚО қатысушылары</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64300</w:t>
            </w:r>
            <w:r>
              <w:rPr>
                <w:rFonts w:ascii="Times New Roman" w:hAnsi="Times New Roman" w:eastAsia="Times New Roman" w:cs="Times New Roman"/>
                <w:sz w:val="24"/>
                <w:lang w:val="kk-KZ" w:eastAsia="kk-KZ"/>
              </w:rPr>
              <w:t xml:space="preserve"> – Трастық компаниялардың, инвестициялық қорлар мен ұқсас қаржылық ұйымдардың қызметі;</w:t>
            </w:r>
          </w:p>
          <w:p>
            <w:pPr>
              <w:keepLines w:val="0"/>
              <w:spacing w:before="0" w:after="0" w:line="240" w:lineRule="auto"/>
              <w:jc w:val="left"/>
            </w:pPr>
            <w:r>
              <w:rPr>
                <w:rFonts w:ascii="Times New Roman" w:hAnsi="Times New Roman" w:eastAsia="Times New Roman" w:cs="Times New Roman"/>
                <w:sz w:val="24"/>
                <w:lang w:val="kk-KZ" w:eastAsia="kk-KZ"/>
              </w:rPr>
              <w:t>64911</w:t>
            </w:r>
            <w:r>
              <w:rPr>
                <w:rFonts w:ascii="Times New Roman" w:hAnsi="Times New Roman" w:eastAsia="Times New Roman" w:cs="Times New Roman"/>
                <w:sz w:val="24"/>
                <w:lang w:val="kk-KZ" w:eastAsia="kk-KZ"/>
              </w:rPr>
              <w:t xml:space="preserve"> – Медициналық жабдықтар мен техниканың қаржылық лизингінен басқа қаржылық лизинг;</w:t>
            </w:r>
          </w:p>
          <w:p>
            <w:pPr>
              <w:keepLines w:val="0"/>
              <w:spacing w:before="0" w:after="0" w:line="240" w:lineRule="auto"/>
              <w:jc w:val="left"/>
            </w:pPr>
            <w:r>
              <w:rPr>
                <w:rFonts w:ascii="Times New Roman" w:hAnsi="Times New Roman" w:eastAsia="Times New Roman" w:cs="Times New Roman"/>
                <w:sz w:val="24"/>
                <w:lang w:val="kk-KZ" w:eastAsia="kk-KZ"/>
              </w:rPr>
              <w:t>64929</w:t>
            </w:r>
            <w:r>
              <w:rPr>
                <w:rFonts w:ascii="Times New Roman" w:hAnsi="Times New Roman" w:eastAsia="Times New Roman" w:cs="Times New Roman"/>
                <w:sz w:val="24"/>
                <w:lang w:val="kk-KZ" w:eastAsia="kk-KZ"/>
              </w:rPr>
              <w:t xml:space="preserve"> – Басқа топтамаларға енгізілмеген, кредит берудің өзге де түрлері;</w:t>
            </w:r>
          </w:p>
          <w:p>
            <w:pPr>
              <w:keepLines w:val="0"/>
              <w:spacing w:before="0" w:after="0" w:line="240" w:lineRule="auto"/>
              <w:jc w:val="left"/>
            </w:pPr>
            <w:r>
              <w:rPr>
                <w:rFonts w:ascii="Times New Roman" w:hAnsi="Times New Roman" w:eastAsia="Times New Roman" w:cs="Times New Roman"/>
                <w:sz w:val="24"/>
                <w:lang w:val="kk-KZ" w:eastAsia="kk-KZ"/>
              </w:rPr>
              <w:t>66111</w:t>
            </w:r>
            <w:r>
              <w:rPr>
                <w:rFonts w:ascii="Times New Roman" w:hAnsi="Times New Roman" w:eastAsia="Times New Roman" w:cs="Times New Roman"/>
                <w:sz w:val="24"/>
                <w:lang w:val="kk-KZ" w:eastAsia="kk-KZ"/>
              </w:rPr>
              <w:t xml:space="preserve"> – Тауар биржаларының қызметі;</w:t>
            </w:r>
          </w:p>
          <w:p>
            <w:pPr>
              <w:keepLines w:val="0"/>
              <w:spacing w:before="0" w:after="0" w:line="240" w:lineRule="auto"/>
              <w:jc w:val="left"/>
            </w:pPr>
            <w:r>
              <w:rPr>
                <w:rFonts w:ascii="Times New Roman" w:hAnsi="Times New Roman" w:eastAsia="Times New Roman" w:cs="Times New Roman"/>
                <w:sz w:val="24"/>
                <w:lang w:val="kk-KZ" w:eastAsia="kk-KZ"/>
              </w:rPr>
              <w:t>66112</w:t>
            </w:r>
            <w:r>
              <w:rPr>
                <w:rFonts w:ascii="Times New Roman" w:hAnsi="Times New Roman" w:eastAsia="Times New Roman" w:cs="Times New Roman"/>
                <w:sz w:val="24"/>
                <w:lang w:val="kk-KZ" w:eastAsia="kk-KZ"/>
              </w:rPr>
              <w:t xml:space="preserve"> – Қаржы нарықтарын басқарумен байланысты қызмет;</w:t>
            </w:r>
          </w:p>
          <w:p>
            <w:pPr>
              <w:keepLines w:val="0"/>
              <w:spacing w:before="0" w:after="0" w:line="240" w:lineRule="auto"/>
              <w:jc w:val="left"/>
            </w:pPr>
            <w:r>
              <w:rPr>
                <w:rFonts w:ascii="Times New Roman" w:hAnsi="Times New Roman" w:eastAsia="Times New Roman" w:cs="Times New Roman"/>
                <w:sz w:val="24"/>
                <w:lang w:val="kk-KZ" w:eastAsia="kk-KZ"/>
              </w:rPr>
              <w:t>66113</w:t>
            </w:r>
            <w:r>
              <w:rPr>
                <w:rFonts w:ascii="Times New Roman" w:hAnsi="Times New Roman" w:eastAsia="Times New Roman" w:cs="Times New Roman"/>
                <w:sz w:val="24"/>
                <w:lang w:val="kk-KZ" w:eastAsia="kk-KZ"/>
              </w:rPr>
              <w:t xml:space="preserve"> – Бағалы қағаздар ұстаушылар және шаруашылық серіктестігіне қатысушылардың тізілімдері жүйесін жүргізу бойынша қызмет;</w:t>
            </w:r>
          </w:p>
          <w:p>
            <w:pPr>
              <w:keepLines w:val="0"/>
              <w:spacing w:before="0" w:after="0" w:line="240" w:lineRule="auto"/>
              <w:jc w:val="left"/>
            </w:pPr>
            <w:r>
              <w:rPr>
                <w:rFonts w:ascii="Times New Roman" w:hAnsi="Times New Roman" w:eastAsia="Times New Roman" w:cs="Times New Roman"/>
                <w:sz w:val="24"/>
                <w:lang w:val="kk-KZ" w:eastAsia="kk-KZ"/>
              </w:rPr>
              <w:t>69202</w:t>
            </w:r>
            <w:r>
              <w:rPr>
                <w:rFonts w:ascii="Times New Roman" w:hAnsi="Times New Roman" w:eastAsia="Times New Roman" w:cs="Times New Roman"/>
                <w:sz w:val="24"/>
                <w:lang w:val="kk-KZ" w:eastAsia="kk-KZ"/>
              </w:rPr>
              <w:t xml:space="preserve"> – Шоттарды және бухгалтерлік есеп жасау саласындағы қызмет;</w:t>
            </w:r>
          </w:p>
          <w:p>
            <w:pPr>
              <w:keepLines w:val="0"/>
              <w:spacing w:before="0" w:after="0" w:line="240" w:lineRule="auto"/>
              <w:jc w:val="left"/>
            </w:pPr>
            <w:r>
              <w:rPr>
                <w:rFonts w:ascii="Times New Roman" w:hAnsi="Times New Roman" w:eastAsia="Times New Roman" w:cs="Times New Roman"/>
                <w:sz w:val="24"/>
                <w:lang w:val="kk-KZ" w:eastAsia="kk-KZ"/>
              </w:rPr>
              <w:t>66220</w:t>
            </w:r>
            <w:r>
              <w:rPr>
                <w:rFonts w:ascii="Times New Roman" w:hAnsi="Times New Roman" w:eastAsia="Times New Roman" w:cs="Times New Roman"/>
                <w:sz w:val="24"/>
                <w:lang w:val="kk-KZ" w:eastAsia="kk-KZ"/>
              </w:rPr>
              <w:t xml:space="preserve"> – Сақтандыру агенттерінің және брокерлердің қызметі;</w:t>
            </w:r>
          </w:p>
          <w:p>
            <w:pPr>
              <w:keepLines w:val="0"/>
              <w:spacing w:before="0" w:after="0" w:line="240" w:lineRule="auto"/>
              <w:jc w:val="left"/>
            </w:pPr>
            <w:r>
              <w:rPr>
                <w:rFonts w:ascii="Times New Roman" w:hAnsi="Times New Roman" w:eastAsia="Times New Roman" w:cs="Times New Roman"/>
                <w:sz w:val="24"/>
                <w:lang w:val="kk-KZ" w:eastAsia="kk-KZ"/>
              </w:rPr>
              <w:t>66290</w:t>
            </w:r>
            <w:r>
              <w:rPr>
                <w:rFonts w:ascii="Times New Roman" w:hAnsi="Times New Roman" w:eastAsia="Times New Roman" w:cs="Times New Roman"/>
                <w:sz w:val="24"/>
                <w:lang w:val="kk-KZ" w:eastAsia="kk-KZ"/>
              </w:rPr>
              <w:t xml:space="preserve"> – Сақтандыру және зейнетақымен қамсыздандыру бойынша өзге де қосалқы қызмет;</w:t>
            </w:r>
          </w:p>
          <w:p>
            <w:pPr>
              <w:keepLines w:val="0"/>
              <w:spacing w:before="0" w:after="0" w:line="240" w:lineRule="auto"/>
              <w:jc w:val="left"/>
            </w:pPr>
            <w:r>
              <w:rPr>
                <w:rFonts w:ascii="Times New Roman" w:hAnsi="Times New Roman" w:eastAsia="Times New Roman" w:cs="Times New Roman"/>
                <w:sz w:val="24"/>
                <w:lang w:val="kk-KZ" w:eastAsia="kk-KZ"/>
              </w:rPr>
              <w:t>66190</w:t>
            </w:r>
            <w:r>
              <w:rPr>
                <w:rFonts w:ascii="Times New Roman" w:hAnsi="Times New Roman" w:eastAsia="Times New Roman" w:cs="Times New Roman"/>
                <w:sz w:val="24"/>
                <w:lang w:val="kk-KZ" w:eastAsia="kk-KZ"/>
              </w:rPr>
              <w:t xml:space="preserve"> – Сақтандыру және зейнетақымен қамсыздандырудан басқа, қаржылық көрсетілетін қызмет саласындағы өзге де қосалқы қызмет;</w:t>
            </w:r>
          </w:p>
          <w:p>
            <w:pPr>
              <w:keepLines w:val="0"/>
              <w:spacing w:before="0" w:after="0" w:line="240" w:lineRule="auto"/>
              <w:jc w:val="left"/>
            </w:pPr>
            <w:r>
              <w:rPr>
                <w:rFonts w:ascii="Times New Roman" w:hAnsi="Times New Roman" w:eastAsia="Times New Roman" w:cs="Times New Roman"/>
                <w:sz w:val="24"/>
                <w:lang w:val="kk-KZ" w:eastAsia="kk-KZ"/>
              </w:rPr>
              <w:t>69109</w:t>
            </w:r>
            <w:r>
              <w:rPr>
                <w:rFonts w:ascii="Times New Roman" w:hAnsi="Times New Roman" w:eastAsia="Times New Roman" w:cs="Times New Roman"/>
                <w:sz w:val="24"/>
                <w:lang w:val="kk-KZ" w:eastAsia="kk-KZ"/>
              </w:rPr>
              <w:t xml:space="preserve"> – Құқық саласындағы өзге де қызмет;</w:t>
            </w:r>
          </w:p>
          <w:p>
            <w:pPr>
              <w:keepLines w:val="0"/>
              <w:spacing w:before="0" w:after="0" w:line="240" w:lineRule="auto"/>
              <w:jc w:val="left"/>
            </w:pPr>
            <w:r>
              <w:rPr>
                <w:rFonts w:ascii="Times New Roman" w:hAnsi="Times New Roman" w:eastAsia="Times New Roman" w:cs="Times New Roman"/>
                <w:sz w:val="24"/>
                <w:lang w:val="kk-KZ" w:eastAsia="kk-KZ"/>
              </w:rPr>
              <w:t>64191</w:t>
            </w:r>
            <w:r>
              <w:rPr>
                <w:rFonts w:ascii="Times New Roman" w:hAnsi="Times New Roman" w:eastAsia="Times New Roman" w:cs="Times New Roman"/>
                <w:sz w:val="24"/>
                <w:lang w:val="kk-KZ" w:eastAsia="kk-KZ"/>
              </w:rPr>
              <w:t xml:space="preserve"> – Ұлттық даму институты және оның еншілес лизинг беруші ұйымы болып табылатын банктен басқа банктердің қызметі;</w:t>
            </w:r>
          </w:p>
          <w:p>
            <w:pPr>
              <w:keepLines w:val="0"/>
              <w:spacing w:before="0" w:after="0" w:line="240" w:lineRule="auto"/>
              <w:jc w:val="left"/>
            </w:pPr>
            <w:r>
              <w:rPr>
                <w:rFonts w:ascii="Times New Roman" w:hAnsi="Times New Roman" w:eastAsia="Times New Roman" w:cs="Times New Roman"/>
                <w:sz w:val="24"/>
                <w:lang w:val="kk-KZ" w:eastAsia="kk-KZ"/>
              </w:rPr>
              <w:t>70221</w:t>
            </w:r>
            <w:r>
              <w:rPr>
                <w:rFonts w:ascii="Times New Roman" w:hAnsi="Times New Roman" w:eastAsia="Times New Roman" w:cs="Times New Roman"/>
                <w:sz w:val="24"/>
                <w:lang w:val="kk-KZ" w:eastAsia="kk-KZ"/>
              </w:rPr>
              <w:t xml:space="preserve"> – Коммерциялық қызмет және басқару мәселелері бойынша консультация беру;</w:t>
            </w:r>
          </w:p>
          <w:p>
            <w:pPr>
              <w:keepLines w:val="0"/>
              <w:spacing w:before="0" w:after="0" w:line="240" w:lineRule="auto"/>
              <w:jc w:val="left"/>
            </w:pPr>
            <w:r>
              <w:rPr>
                <w:rFonts w:ascii="Times New Roman" w:hAnsi="Times New Roman" w:eastAsia="Times New Roman" w:cs="Times New Roman"/>
                <w:sz w:val="24"/>
                <w:lang w:val="kk-KZ" w:eastAsia="kk-KZ"/>
              </w:rPr>
              <w:t>96090</w:t>
            </w:r>
            <w:r>
              <w:rPr>
                <w:rFonts w:ascii="Times New Roman" w:hAnsi="Times New Roman" w:eastAsia="Times New Roman" w:cs="Times New Roman"/>
                <w:sz w:val="24"/>
                <w:lang w:val="kk-KZ" w:eastAsia="kk-KZ"/>
              </w:rPr>
              <w:t xml:space="preserve"> – Басқа топтамаларға енгізілмеген өзге де жеке көрсетілетін қызметтерді ұсыну.</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Қамтамасыз етілген цифрлық активтерді шығаруды және олардың айналымын жүзеге асыратын тұлғалар</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62020</w:t>
            </w:r>
            <w:r>
              <w:rPr>
                <w:rFonts w:ascii="Times New Roman" w:hAnsi="Times New Roman" w:eastAsia="Times New Roman" w:cs="Times New Roman"/>
                <w:sz w:val="24"/>
                <w:lang w:val="kk-KZ" w:eastAsia="kk-KZ"/>
              </w:rPr>
              <w:t xml:space="preserve"> – Ақпараттық технологиялар саласындағы консультациялық көрсетілетін қызметтер.</w:t>
            </w:r>
          </w:p>
        </w:tc>
      </w:tr>
      <w:tr>
        <w:trPr>
          <w:cantSplit/>
        </w:trPr>
        <w:tc>
          <w:tcPr>
            <w:tcW w:type="dxa" w:w="6345"/>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b w:val="0"/>
                <w:sz w:val="24"/>
                <w:lang w:val="kk-KZ" w:eastAsia="kk-KZ"/>
              </w:rPr>
              <w:t>Ұялы байланыс операторлары</w:t>
            </w:r>
          </w:p>
        </w:tc>
        <w:tc>
          <w:tcPr>
            <w:tcW w:type="dxa" w:w="7938"/>
            <w:vAlign w:val="top"/>
            <w:tcMar>
              <w:top w:w="60" w:type="dxa"/>
              <w:start w:w="100" w:type="dxa"/>
              <w:bottom w:w="60" w:type="dxa"/>
              <w:end w:w="100" w:type="dxa"/>
            </w:tcMar>
          </w:tcPr>
          <w:p>
            <w:pPr>
              <w:keepLines w:val="0"/>
              <w:spacing w:before="0" w:after="0" w:line="240" w:lineRule="auto"/>
              <w:jc w:val="left"/>
            </w:pPr>
            <w:r>
              <w:rPr>
                <w:rFonts w:ascii="Times New Roman" w:hAnsi="Times New Roman" w:eastAsia="Times New Roman" w:cs="Times New Roman"/>
                <w:sz w:val="24"/>
                <w:lang w:val="kk-KZ" w:eastAsia="kk-KZ"/>
              </w:rPr>
              <w:t>61109</w:t>
            </w:r>
            <w:r>
              <w:rPr>
                <w:rFonts w:ascii="Times New Roman" w:hAnsi="Times New Roman" w:eastAsia="Times New Roman" w:cs="Times New Roman"/>
                <w:sz w:val="24"/>
                <w:lang w:val="kk-KZ" w:eastAsia="kk-KZ"/>
              </w:rPr>
              <w:t xml:space="preserve"> – Өзге де сымдық телекоммуникациялық байланыс;</w:t>
            </w:r>
          </w:p>
          <w:p>
            <w:pPr>
              <w:keepLines w:val="0"/>
              <w:spacing w:before="0" w:after="0" w:line="240" w:lineRule="auto"/>
              <w:jc w:val="left"/>
            </w:pPr>
            <w:r>
              <w:rPr>
                <w:rFonts w:ascii="Times New Roman" w:hAnsi="Times New Roman" w:eastAsia="Times New Roman" w:cs="Times New Roman"/>
                <w:sz w:val="24"/>
                <w:lang w:val="kk-KZ" w:eastAsia="kk-KZ"/>
              </w:rPr>
              <w:t>61201</w:t>
            </w:r>
            <w:r>
              <w:rPr>
                <w:rFonts w:ascii="Times New Roman" w:hAnsi="Times New Roman" w:eastAsia="Times New Roman" w:cs="Times New Roman"/>
                <w:sz w:val="24"/>
                <w:lang w:val="kk-KZ" w:eastAsia="kk-KZ"/>
              </w:rPr>
              <w:t xml:space="preserve"> – Бірыңғай көлік ортасы арқылы сымсыз телекоммуникациялық байланыс;</w:t>
            </w:r>
          </w:p>
          <w:p>
            <w:pPr>
              <w:keepLines w:val="0"/>
              <w:spacing w:before="0" w:after="0" w:line="240" w:lineRule="auto"/>
              <w:jc w:val="left"/>
            </w:pPr>
            <w:r>
              <w:rPr>
                <w:rFonts w:ascii="Times New Roman" w:hAnsi="Times New Roman" w:eastAsia="Times New Roman" w:cs="Times New Roman"/>
                <w:sz w:val="24"/>
                <w:lang w:val="kk-KZ" w:eastAsia="kk-KZ"/>
              </w:rPr>
              <w:t>61209</w:t>
            </w:r>
            <w:r>
              <w:rPr>
                <w:rFonts w:ascii="Times New Roman" w:hAnsi="Times New Roman" w:eastAsia="Times New Roman" w:cs="Times New Roman"/>
                <w:sz w:val="24"/>
                <w:lang w:val="kk-KZ" w:eastAsia="kk-KZ"/>
              </w:rPr>
              <w:t xml:space="preserve"> – Өзге де сымсыз телекоммуникациялық байланыс.</w:t>
            </w:r>
          </w:p>
        </w:tc>
      </w:tr>
    </w:tbl>
    <w:sectPr w:rsidR="00866A41" w:rsidRPr="00E7555A" w:rsidSect="00D61C36">
      <w:headerReference w:type="default" r:id="rId8"/>
      <w:pgSz w:w="16838" w:h="11906" w:orient="landscape"/>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7D169" w14:textId="77777777" w:rsidR="00EC6E3E" w:rsidRDefault="00EC6E3E" w:rsidP="004E1E74">
      <w:r>
        <w:separator/>
      </w:r>
    </w:p>
  </w:endnote>
  <w:endnote w:type="continuationSeparator" w:id="0">
    <w:p w14:paraId="7F1D901B" w14:textId="77777777" w:rsidR="00EC6E3E" w:rsidRDefault="00EC6E3E" w:rsidP="004E1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E770F" w14:textId="77777777" w:rsidR="00EC6E3E" w:rsidRDefault="00EC6E3E" w:rsidP="004E1E74">
      <w:r>
        <w:separator/>
      </w:r>
    </w:p>
  </w:footnote>
  <w:footnote w:type="continuationSeparator" w:id="0">
    <w:p w14:paraId="50E000BB" w14:textId="77777777" w:rsidR="00EC6E3E" w:rsidRDefault="00EC6E3E" w:rsidP="004E1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7083708"/>
      <w:docPartObj>
        <w:docPartGallery w:val="Page Numbers (Top of Page)"/>
        <w:docPartUnique/>
      </w:docPartObj>
    </w:sdtPr>
    <w:sdtEndPr/>
    <w:sdtContent>
      <w:p w14:paraId="488868D4" w14:textId="77777777" w:rsidR="00C86B15" w:rsidRDefault="00C86B15">
        <w:pPr>
          <w:pStyle w:val="a8"/>
          <w:jc w:val="center"/>
        </w:pPr>
        <w:r>
          <w:fldChar w:fldCharType="begin"/>
        </w:r>
        <w:r>
          <w:instrText>PAGE   \* MERGEFORMAT</w:instrText>
        </w:r>
        <w:r>
          <w:fldChar w:fldCharType="separate"/>
        </w:r>
        <w:r w:rsidR="00A22C94">
          <w:rPr>
            <w:noProof/>
          </w:rPr>
          <w:t>6</w:t>
        </w:r>
        <w:r>
          <w:fldChar w:fldCharType="end"/>
        </w:r>
      </w:p>
    </w:sdtContent>
  </w:sdt>
  <w:p w14:paraId="342A7278" w14:textId="77777777" w:rsidR="00C86B15" w:rsidRDefault="00C86B15">
    <w:pPr>
      <w:pStyle w:val="a8"/>
    </w:pPr>
  </w:p>
  <w:p w14:paraId="5B763D2F" w14:textId="3B6443CC" w:rsidR="003D52A9" w:rsidRDefault="00EC6E3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74AE6"/>
    <w:multiLevelType w:val="hybridMultilevel"/>
    <w:tmpl w:val="97307E22"/>
    <w:lvl w:ilvl="0" w:tplc="0690321A">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 w15:restartNumberingAfterBreak="0">
    <w:nsid w:val="4EF13A9E"/>
    <w:multiLevelType w:val="hybridMultilevel"/>
    <w:tmpl w:val="F1B8E4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2345CED"/>
    <w:multiLevelType w:val="hybridMultilevel"/>
    <w:tmpl w:val="731C764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07F2CE7"/>
    <w:multiLevelType w:val="hybridMultilevel"/>
    <w:tmpl w:val="68EEE258"/>
    <w:lvl w:ilvl="0" w:tplc="EB70C634">
      <w:start w:val="1"/>
      <w:numFmt w:val="decimal"/>
      <w:lvlText w:val="%1)"/>
      <w:lvlJc w:val="left"/>
      <w:pPr>
        <w:ind w:left="1068" w:hanging="360"/>
      </w:pPr>
      <w:rPr>
        <w:rFonts w:hint="default"/>
        <w:b w:val="0"/>
        <w:bCs w:val="0"/>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51EB"/>
    <w:rsid w:val="00002F38"/>
    <w:rsid w:val="00004534"/>
    <w:rsid w:val="00005D82"/>
    <w:rsid w:val="0000606F"/>
    <w:rsid w:val="0001222C"/>
    <w:rsid w:val="00020350"/>
    <w:rsid w:val="0002090F"/>
    <w:rsid w:val="000217B7"/>
    <w:rsid w:val="0002308A"/>
    <w:rsid w:val="00025010"/>
    <w:rsid w:val="00030305"/>
    <w:rsid w:val="000318F2"/>
    <w:rsid w:val="00033FAB"/>
    <w:rsid w:val="00034812"/>
    <w:rsid w:val="000434BB"/>
    <w:rsid w:val="0004424A"/>
    <w:rsid w:val="00044619"/>
    <w:rsid w:val="00045E94"/>
    <w:rsid w:val="0005268A"/>
    <w:rsid w:val="00056877"/>
    <w:rsid w:val="00066B9C"/>
    <w:rsid w:val="0006765F"/>
    <w:rsid w:val="00074F42"/>
    <w:rsid w:val="0009133B"/>
    <w:rsid w:val="000B1EDA"/>
    <w:rsid w:val="000C2F1D"/>
    <w:rsid w:val="000C64B0"/>
    <w:rsid w:val="000D1714"/>
    <w:rsid w:val="000D30D6"/>
    <w:rsid w:val="000E0E94"/>
    <w:rsid w:val="001016EF"/>
    <w:rsid w:val="0010503F"/>
    <w:rsid w:val="00122EAD"/>
    <w:rsid w:val="0012720D"/>
    <w:rsid w:val="00127359"/>
    <w:rsid w:val="00127D2B"/>
    <w:rsid w:val="00132054"/>
    <w:rsid w:val="00137921"/>
    <w:rsid w:val="001416F5"/>
    <w:rsid w:val="00143EEA"/>
    <w:rsid w:val="00155268"/>
    <w:rsid w:val="0017028A"/>
    <w:rsid w:val="001704A8"/>
    <w:rsid w:val="001751EB"/>
    <w:rsid w:val="00175B4F"/>
    <w:rsid w:val="0018047A"/>
    <w:rsid w:val="0018608C"/>
    <w:rsid w:val="00186611"/>
    <w:rsid w:val="001910D4"/>
    <w:rsid w:val="001917F2"/>
    <w:rsid w:val="00191FB0"/>
    <w:rsid w:val="00193049"/>
    <w:rsid w:val="0019652E"/>
    <w:rsid w:val="001A0AFB"/>
    <w:rsid w:val="001A2773"/>
    <w:rsid w:val="001A6C11"/>
    <w:rsid w:val="001C1361"/>
    <w:rsid w:val="001C7DDD"/>
    <w:rsid w:val="001E220D"/>
    <w:rsid w:val="001F3823"/>
    <w:rsid w:val="001F7A9E"/>
    <w:rsid w:val="00202108"/>
    <w:rsid w:val="0021105A"/>
    <w:rsid w:val="00211D5C"/>
    <w:rsid w:val="0021383D"/>
    <w:rsid w:val="00217E27"/>
    <w:rsid w:val="0022218B"/>
    <w:rsid w:val="00226D3F"/>
    <w:rsid w:val="002310E9"/>
    <w:rsid w:val="00232259"/>
    <w:rsid w:val="0023243F"/>
    <w:rsid w:val="00233430"/>
    <w:rsid w:val="00234278"/>
    <w:rsid w:val="002356A8"/>
    <w:rsid w:val="00237764"/>
    <w:rsid w:val="0024014A"/>
    <w:rsid w:val="0025009D"/>
    <w:rsid w:val="002506CA"/>
    <w:rsid w:val="0026039F"/>
    <w:rsid w:val="002615B2"/>
    <w:rsid w:val="00261F2F"/>
    <w:rsid w:val="002640A6"/>
    <w:rsid w:val="002677AC"/>
    <w:rsid w:val="00273786"/>
    <w:rsid w:val="002739BA"/>
    <w:rsid w:val="002803C9"/>
    <w:rsid w:val="00280433"/>
    <w:rsid w:val="002A2FDF"/>
    <w:rsid w:val="002A6751"/>
    <w:rsid w:val="002A74DE"/>
    <w:rsid w:val="002B3022"/>
    <w:rsid w:val="002D150C"/>
    <w:rsid w:val="002D5124"/>
    <w:rsid w:val="002D51A7"/>
    <w:rsid w:val="002D6BB6"/>
    <w:rsid w:val="002E4B04"/>
    <w:rsid w:val="002E631C"/>
    <w:rsid w:val="002E7D07"/>
    <w:rsid w:val="002F09CE"/>
    <w:rsid w:val="0031745A"/>
    <w:rsid w:val="003230B4"/>
    <w:rsid w:val="00323852"/>
    <w:rsid w:val="00325476"/>
    <w:rsid w:val="00325A71"/>
    <w:rsid w:val="00327567"/>
    <w:rsid w:val="00332226"/>
    <w:rsid w:val="00341660"/>
    <w:rsid w:val="00352C44"/>
    <w:rsid w:val="0035364C"/>
    <w:rsid w:val="0035385F"/>
    <w:rsid w:val="00357296"/>
    <w:rsid w:val="00363AAA"/>
    <w:rsid w:val="0036750B"/>
    <w:rsid w:val="0037256A"/>
    <w:rsid w:val="00373C46"/>
    <w:rsid w:val="00373F4C"/>
    <w:rsid w:val="0037765A"/>
    <w:rsid w:val="00392BE9"/>
    <w:rsid w:val="003A33E1"/>
    <w:rsid w:val="003A37CC"/>
    <w:rsid w:val="003A39CA"/>
    <w:rsid w:val="003A3CE3"/>
    <w:rsid w:val="003C0C5C"/>
    <w:rsid w:val="003C0C6A"/>
    <w:rsid w:val="003C531F"/>
    <w:rsid w:val="003D102B"/>
    <w:rsid w:val="003D7640"/>
    <w:rsid w:val="003E0CFA"/>
    <w:rsid w:val="003E2E24"/>
    <w:rsid w:val="003F38AA"/>
    <w:rsid w:val="003F38CF"/>
    <w:rsid w:val="0040173C"/>
    <w:rsid w:val="00404881"/>
    <w:rsid w:val="00404A54"/>
    <w:rsid w:val="00411080"/>
    <w:rsid w:val="004121E2"/>
    <w:rsid w:val="004170F2"/>
    <w:rsid w:val="004175B4"/>
    <w:rsid w:val="00417A9D"/>
    <w:rsid w:val="004220F7"/>
    <w:rsid w:val="004256F7"/>
    <w:rsid w:val="00426951"/>
    <w:rsid w:val="00427D70"/>
    <w:rsid w:val="00427DEA"/>
    <w:rsid w:val="004360BA"/>
    <w:rsid w:val="0043657B"/>
    <w:rsid w:val="00446D41"/>
    <w:rsid w:val="00447A59"/>
    <w:rsid w:val="00450757"/>
    <w:rsid w:val="0045789C"/>
    <w:rsid w:val="00457FB5"/>
    <w:rsid w:val="00460BB5"/>
    <w:rsid w:val="00465F79"/>
    <w:rsid w:val="0048028A"/>
    <w:rsid w:val="00482CD7"/>
    <w:rsid w:val="00482D20"/>
    <w:rsid w:val="0048513A"/>
    <w:rsid w:val="004852F5"/>
    <w:rsid w:val="00487D3D"/>
    <w:rsid w:val="00487E59"/>
    <w:rsid w:val="00490179"/>
    <w:rsid w:val="00495D9B"/>
    <w:rsid w:val="004B14A9"/>
    <w:rsid w:val="004B1FF9"/>
    <w:rsid w:val="004B3924"/>
    <w:rsid w:val="004B680A"/>
    <w:rsid w:val="004C62E5"/>
    <w:rsid w:val="004C720A"/>
    <w:rsid w:val="004C7E34"/>
    <w:rsid w:val="004E01FF"/>
    <w:rsid w:val="004E1D4F"/>
    <w:rsid w:val="004E1E74"/>
    <w:rsid w:val="004E22EC"/>
    <w:rsid w:val="004E47E6"/>
    <w:rsid w:val="004F0C3F"/>
    <w:rsid w:val="004F1591"/>
    <w:rsid w:val="004F15A2"/>
    <w:rsid w:val="004F39E0"/>
    <w:rsid w:val="004F5F73"/>
    <w:rsid w:val="005135AD"/>
    <w:rsid w:val="00514C9D"/>
    <w:rsid w:val="00515C18"/>
    <w:rsid w:val="005162B8"/>
    <w:rsid w:val="00523D82"/>
    <w:rsid w:val="00541D6C"/>
    <w:rsid w:val="00546EC0"/>
    <w:rsid w:val="0055028C"/>
    <w:rsid w:val="0055462D"/>
    <w:rsid w:val="00556F0E"/>
    <w:rsid w:val="00561CB9"/>
    <w:rsid w:val="005731B9"/>
    <w:rsid w:val="00580DA1"/>
    <w:rsid w:val="00585AD9"/>
    <w:rsid w:val="00592A55"/>
    <w:rsid w:val="005A09DF"/>
    <w:rsid w:val="005A232E"/>
    <w:rsid w:val="005A5AAB"/>
    <w:rsid w:val="005A704D"/>
    <w:rsid w:val="005A76A5"/>
    <w:rsid w:val="005B0FE3"/>
    <w:rsid w:val="005B4757"/>
    <w:rsid w:val="005B4E2E"/>
    <w:rsid w:val="005C4689"/>
    <w:rsid w:val="005E1406"/>
    <w:rsid w:val="005F0C15"/>
    <w:rsid w:val="005F3354"/>
    <w:rsid w:val="00600D02"/>
    <w:rsid w:val="00603A22"/>
    <w:rsid w:val="00605B44"/>
    <w:rsid w:val="00607131"/>
    <w:rsid w:val="0061500B"/>
    <w:rsid w:val="00621138"/>
    <w:rsid w:val="00627991"/>
    <w:rsid w:val="006325E0"/>
    <w:rsid w:val="00632C92"/>
    <w:rsid w:val="006342D3"/>
    <w:rsid w:val="00643836"/>
    <w:rsid w:val="00643E3C"/>
    <w:rsid w:val="006503EE"/>
    <w:rsid w:val="00650A52"/>
    <w:rsid w:val="00651929"/>
    <w:rsid w:val="006535F5"/>
    <w:rsid w:val="00655790"/>
    <w:rsid w:val="00664449"/>
    <w:rsid w:val="00670DA4"/>
    <w:rsid w:val="00674619"/>
    <w:rsid w:val="00674654"/>
    <w:rsid w:val="006764BE"/>
    <w:rsid w:val="00686723"/>
    <w:rsid w:val="0068676C"/>
    <w:rsid w:val="006949D8"/>
    <w:rsid w:val="006A08A8"/>
    <w:rsid w:val="006A1C1D"/>
    <w:rsid w:val="006B0E44"/>
    <w:rsid w:val="006B1D9B"/>
    <w:rsid w:val="006B30FD"/>
    <w:rsid w:val="006B4997"/>
    <w:rsid w:val="006C0F58"/>
    <w:rsid w:val="006D009B"/>
    <w:rsid w:val="006D04B3"/>
    <w:rsid w:val="006E0BEC"/>
    <w:rsid w:val="006E7AD3"/>
    <w:rsid w:val="006F0DD1"/>
    <w:rsid w:val="006F7881"/>
    <w:rsid w:val="00707D89"/>
    <w:rsid w:val="00710599"/>
    <w:rsid w:val="00720495"/>
    <w:rsid w:val="00722B11"/>
    <w:rsid w:val="00736DB1"/>
    <w:rsid w:val="00745714"/>
    <w:rsid w:val="00750D52"/>
    <w:rsid w:val="0075317A"/>
    <w:rsid w:val="00753F98"/>
    <w:rsid w:val="00757BDF"/>
    <w:rsid w:val="0076092A"/>
    <w:rsid w:val="00764301"/>
    <w:rsid w:val="00767099"/>
    <w:rsid w:val="00774FF9"/>
    <w:rsid w:val="007824B8"/>
    <w:rsid w:val="00782F2B"/>
    <w:rsid w:val="00786566"/>
    <w:rsid w:val="00787A0C"/>
    <w:rsid w:val="00790D86"/>
    <w:rsid w:val="0079348C"/>
    <w:rsid w:val="007950CC"/>
    <w:rsid w:val="007A0511"/>
    <w:rsid w:val="007A06E9"/>
    <w:rsid w:val="007A0B9B"/>
    <w:rsid w:val="007A43FD"/>
    <w:rsid w:val="007A75C5"/>
    <w:rsid w:val="007B1C7D"/>
    <w:rsid w:val="007B5613"/>
    <w:rsid w:val="007C6649"/>
    <w:rsid w:val="007D131F"/>
    <w:rsid w:val="007D390C"/>
    <w:rsid w:val="007D64A0"/>
    <w:rsid w:val="007D7D59"/>
    <w:rsid w:val="007E27CE"/>
    <w:rsid w:val="007E6A3C"/>
    <w:rsid w:val="007F0038"/>
    <w:rsid w:val="007F4344"/>
    <w:rsid w:val="007F73BE"/>
    <w:rsid w:val="00813092"/>
    <w:rsid w:val="00816D4E"/>
    <w:rsid w:val="00817BA1"/>
    <w:rsid w:val="00821F9B"/>
    <w:rsid w:val="0083283E"/>
    <w:rsid w:val="0083617B"/>
    <w:rsid w:val="00837A80"/>
    <w:rsid w:val="00844D6F"/>
    <w:rsid w:val="00855AFE"/>
    <w:rsid w:val="00866A41"/>
    <w:rsid w:val="00872AD4"/>
    <w:rsid w:val="00876520"/>
    <w:rsid w:val="00877099"/>
    <w:rsid w:val="00886C38"/>
    <w:rsid w:val="00887F3E"/>
    <w:rsid w:val="00887F46"/>
    <w:rsid w:val="00887F94"/>
    <w:rsid w:val="00895AB0"/>
    <w:rsid w:val="0089736A"/>
    <w:rsid w:val="008A6645"/>
    <w:rsid w:val="008A71D1"/>
    <w:rsid w:val="008A75DF"/>
    <w:rsid w:val="008B1AC0"/>
    <w:rsid w:val="008B1E76"/>
    <w:rsid w:val="008C5FCD"/>
    <w:rsid w:val="008D272F"/>
    <w:rsid w:val="008E09A8"/>
    <w:rsid w:val="008F42FB"/>
    <w:rsid w:val="0090232C"/>
    <w:rsid w:val="00905032"/>
    <w:rsid w:val="0092097F"/>
    <w:rsid w:val="009314C5"/>
    <w:rsid w:val="00935662"/>
    <w:rsid w:val="00947BE9"/>
    <w:rsid w:val="009626A5"/>
    <w:rsid w:val="00966C70"/>
    <w:rsid w:val="00993EF4"/>
    <w:rsid w:val="009A3C28"/>
    <w:rsid w:val="009A4754"/>
    <w:rsid w:val="009B0164"/>
    <w:rsid w:val="009B69DB"/>
    <w:rsid w:val="009C4CE8"/>
    <w:rsid w:val="009C5301"/>
    <w:rsid w:val="009C7BAB"/>
    <w:rsid w:val="009E352B"/>
    <w:rsid w:val="009F0E13"/>
    <w:rsid w:val="009F33A4"/>
    <w:rsid w:val="009F4245"/>
    <w:rsid w:val="00A0021A"/>
    <w:rsid w:val="00A06063"/>
    <w:rsid w:val="00A16993"/>
    <w:rsid w:val="00A22C94"/>
    <w:rsid w:val="00A34121"/>
    <w:rsid w:val="00A47140"/>
    <w:rsid w:val="00A476CE"/>
    <w:rsid w:val="00A52F25"/>
    <w:rsid w:val="00A531F9"/>
    <w:rsid w:val="00A556B5"/>
    <w:rsid w:val="00A57DB7"/>
    <w:rsid w:val="00A61651"/>
    <w:rsid w:val="00A61F6A"/>
    <w:rsid w:val="00A720A1"/>
    <w:rsid w:val="00A8522C"/>
    <w:rsid w:val="00A85741"/>
    <w:rsid w:val="00A86B74"/>
    <w:rsid w:val="00A901A9"/>
    <w:rsid w:val="00A91E26"/>
    <w:rsid w:val="00A924C3"/>
    <w:rsid w:val="00A937E6"/>
    <w:rsid w:val="00A9776F"/>
    <w:rsid w:val="00AA0C7E"/>
    <w:rsid w:val="00AA163F"/>
    <w:rsid w:val="00AA3260"/>
    <w:rsid w:val="00AA3FCC"/>
    <w:rsid w:val="00AA421F"/>
    <w:rsid w:val="00AA7F7F"/>
    <w:rsid w:val="00AB1871"/>
    <w:rsid w:val="00AC60DE"/>
    <w:rsid w:val="00AD0CBF"/>
    <w:rsid w:val="00AD0FB9"/>
    <w:rsid w:val="00AD2088"/>
    <w:rsid w:val="00AD2948"/>
    <w:rsid w:val="00AD3EC7"/>
    <w:rsid w:val="00AD6C03"/>
    <w:rsid w:val="00AE175E"/>
    <w:rsid w:val="00AE5054"/>
    <w:rsid w:val="00AF096A"/>
    <w:rsid w:val="00AF1F0E"/>
    <w:rsid w:val="00AF3869"/>
    <w:rsid w:val="00AF7240"/>
    <w:rsid w:val="00B017F8"/>
    <w:rsid w:val="00B0196F"/>
    <w:rsid w:val="00B05160"/>
    <w:rsid w:val="00B0583E"/>
    <w:rsid w:val="00B3570A"/>
    <w:rsid w:val="00B376F2"/>
    <w:rsid w:val="00B41F89"/>
    <w:rsid w:val="00B43CC7"/>
    <w:rsid w:val="00B50C17"/>
    <w:rsid w:val="00B61701"/>
    <w:rsid w:val="00B66F75"/>
    <w:rsid w:val="00B6702B"/>
    <w:rsid w:val="00B70CFB"/>
    <w:rsid w:val="00B70F14"/>
    <w:rsid w:val="00B80622"/>
    <w:rsid w:val="00B8696E"/>
    <w:rsid w:val="00B90E7E"/>
    <w:rsid w:val="00B97D07"/>
    <w:rsid w:val="00BA2129"/>
    <w:rsid w:val="00BA224D"/>
    <w:rsid w:val="00BA2470"/>
    <w:rsid w:val="00BB5CF3"/>
    <w:rsid w:val="00BB6554"/>
    <w:rsid w:val="00BC6592"/>
    <w:rsid w:val="00BC75E4"/>
    <w:rsid w:val="00BD0A48"/>
    <w:rsid w:val="00BD1F65"/>
    <w:rsid w:val="00BD258B"/>
    <w:rsid w:val="00BD4877"/>
    <w:rsid w:val="00BF01FC"/>
    <w:rsid w:val="00BF0E47"/>
    <w:rsid w:val="00BF1D0C"/>
    <w:rsid w:val="00C00E2C"/>
    <w:rsid w:val="00C01BA9"/>
    <w:rsid w:val="00C01D3F"/>
    <w:rsid w:val="00C0272D"/>
    <w:rsid w:val="00C036BB"/>
    <w:rsid w:val="00C05BD1"/>
    <w:rsid w:val="00C1134F"/>
    <w:rsid w:val="00C1318D"/>
    <w:rsid w:val="00C172AE"/>
    <w:rsid w:val="00C23088"/>
    <w:rsid w:val="00C24353"/>
    <w:rsid w:val="00C26046"/>
    <w:rsid w:val="00C324AB"/>
    <w:rsid w:val="00C33D4F"/>
    <w:rsid w:val="00C34F64"/>
    <w:rsid w:val="00C37572"/>
    <w:rsid w:val="00C427E1"/>
    <w:rsid w:val="00C4413D"/>
    <w:rsid w:val="00C50D91"/>
    <w:rsid w:val="00C66054"/>
    <w:rsid w:val="00C814ED"/>
    <w:rsid w:val="00C86B15"/>
    <w:rsid w:val="00C94A7C"/>
    <w:rsid w:val="00C96F35"/>
    <w:rsid w:val="00CA28E5"/>
    <w:rsid w:val="00CA4516"/>
    <w:rsid w:val="00CA4C2C"/>
    <w:rsid w:val="00CA4E2F"/>
    <w:rsid w:val="00CB7FB5"/>
    <w:rsid w:val="00CE4D6E"/>
    <w:rsid w:val="00CF1994"/>
    <w:rsid w:val="00D26265"/>
    <w:rsid w:val="00D27F90"/>
    <w:rsid w:val="00D3423A"/>
    <w:rsid w:val="00D36387"/>
    <w:rsid w:val="00D37C97"/>
    <w:rsid w:val="00D4313A"/>
    <w:rsid w:val="00D43BA8"/>
    <w:rsid w:val="00D476A0"/>
    <w:rsid w:val="00D57ABA"/>
    <w:rsid w:val="00D57F00"/>
    <w:rsid w:val="00D61C36"/>
    <w:rsid w:val="00D622F5"/>
    <w:rsid w:val="00D735F0"/>
    <w:rsid w:val="00D752F9"/>
    <w:rsid w:val="00D81797"/>
    <w:rsid w:val="00D92004"/>
    <w:rsid w:val="00D96E71"/>
    <w:rsid w:val="00DA2876"/>
    <w:rsid w:val="00DA3730"/>
    <w:rsid w:val="00DB008B"/>
    <w:rsid w:val="00DC3039"/>
    <w:rsid w:val="00DD7674"/>
    <w:rsid w:val="00DE7AEE"/>
    <w:rsid w:val="00DF02F8"/>
    <w:rsid w:val="00DF1A66"/>
    <w:rsid w:val="00DF5F47"/>
    <w:rsid w:val="00DF7104"/>
    <w:rsid w:val="00DF7E21"/>
    <w:rsid w:val="00E0312F"/>
    <w:rsid w:val="00E03A60"/>
    <w:rsid w:val="00E1628D"/>
    <w:rsid w:val="00E34639"/>
    <w:rsid w:val="00E36535"/>
    <w:rsid w:val="00E47CC0"/>
    <w:rsid w:val="00E55032"/>
    <w:rsid w:val="00E55DD3"/>
    <w:rsid w:val="00E70CD3"/>
    <w:rsid w:val="00E71262"/>
    <w:rsid w:val="00E7555A"/>
    <w:rsid w:val="00E77D0B"/>
    <w:rsid w:val="00E80008"/>
    <w:rsid w:val="00E80781"/>
    <w:rsid w:val="00E8671E"/>
    <w:rsid w:val="00E96663"/>
    <w:rsid w:val="00EA1C01"/>
    <w:rsid w:val="00EA5712"/>
    <w:rsid w:val="00EB0CA9"/>
    <w:rsid w:val="00EB1461"/>
    <w:rsid w:val="00EB21EF"/>
    <w:rsid w:val="00EB4A83"/>
    <w:rsid w:val="00EB67C3"/>
    <w:rsid w:val="00EB75FA"/>
    <w:rsid w:val="00EC16C2"/>
    <w:rsid w:val="00EC5A18"/>
    <w:rsid w:val="00EC6575"/>
    <w:rsid w:val="00EC6E3E"/>
    <w:rsid w:val="00EE1E05"/>
    <w:rsid w:val="00EE2BBB"/>
    <w:rsid w:val="00EE3D9D"/>
    <w:rsid w:val="00EE664C"/>
    <w:rsid w:val="00EF0606"/>
    <w:rsid w:val="00EF3A01"/>
    <w:rsid w:val="00F016A6"/>
    <w:rsid w:val="00F11F7C"/>
    <w:rsid w:val="00F15CD2"/>
    <w:rsid w:val="00F20CC1"/>
    <w:rsid w:val="00F2412F"/>
    <w:rsid w:val="00F248DA"/>
    <w:rsid w:val="00F25F94"/>
    <w:rsid w:val="00F2710C"/>
    <w:rsid w:val="00F277FA"/>
    <w:rsid w:val="00F346E4"/>
    <w:rsid w:val="00F36CE9"/>
    <w:rsid w:val="00F451E1"/>
    <w:rsid w:val="00F45930"/>
    <w:rsid w:val="00F468ED"/>
    <w:rsid w:val="00F57B9A"/>
    <w:rsid w:val="00F57BD9"/>
    <w:rsid w:val="00F63E9C"/>
    <w:rsid w:val="00F643F3"/>
    <w:rsid w:val="00F65AC1"/>
    <w:rsid w:val="00F7694C"/>
    <w:rsid w:val="00F9735E"/>
    <w:rsid w:val="00FB04F8"/>
    <w:rsid w:val="00FB20A8"/>
    <w:rsid w:val="00FB300A"/>
    <w:rsid w:val="00FB35A1"/>
    <w:rsid w:val="00FB447C"/>
    <w:rsid w:val="00FB6059"/>
    <w:rsid w:val="00FB6630"/>
    <w:rsid w:val="00FC018A"/>
    <w:rsid w:val="00FC2068"/>
    <w:rsid w:val="00FC2DA2"/>
    <w:rsid w:val="00FC61D2"/>
    <w:rsid w:val="00FD2F9C"/>
    <w:rsid w:val="00FD370B"/>
    <w:rsid w:val="00FE4721"/>
    <w:rsid w:val="00FE584A"/>
    <w:rsid w:val="00FF1235"/>
    <w:rsid w:val="00FF3A09"/>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05B93"/>
  <w15:docId w15:val="{241E4AD9-6B5C-4C75-91B0-1246702C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51E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B016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5">
    <w:name w:val="heading 5"/>
    <w:basedOn w:val="a"/>
    <w:next w:val="a"/>
    <w:link w:val="50"/>
    <w:uiPriority w:val="9"/>
    <w:semiHidden/>
    <w:unhideWhenUsed/>
    <w:qFormat/>
    <w:rsid w:val="00495D9B"/>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1751EB"/>
    <w:pPr>
      <w:spacing w:after="0" w:line="240" w:lineRule="auto"/>
    </w:pPr>
    <w:rPr>
      <w:rFonts w:ascii="Times New Roman" w:eastAsia="Times New Roman" w:hAnsi="Times New Roman" w:cs="Times New Roman"/>
      <w:snapToGrid w:val="0"/>
      <w:sz w:val="28"/>
      <w:szCs w:val="20"/>
      <w:lang w:eastAsia="ru-RU"/>
    </w:rPr>
  </w:style>
  <w:style w:type="paragraph" w:styleId="a3">
    <w:name w:val="Balloon Text"/>
    <w:basedOn w:val="a"/>
    <w:link w:val="a4"/>
    <w:uiPriority w:val="99"/>
    <w:semiHidden/>
    <w:unhideWhenUsed/>
    <w:rsid w:val="005A09DF"/>
    <w:rPr>
      <w:rFonts w:ascii="Segoe UI" w:hAnsi="Segoe UI" w:cs="Segoe UI"/>
      <w:sz w:val="18"/>
      <w:szCs w:val="18"/>
    </w:rPr>
  </w:style>
  <w:style w:type="character" w:customStyle="1" w:styleId="a4">
    <w:name w:val="Текст выноски Знак"/>
    <w:basedOn w:val="a0"/>
    <w:link w:val="a3"/>
    <w:uiPriority w:val="99"/>
    <w:semiHidden/>
    <w:rsid w:val="005A09DF"/>
    <w:rPr>
      <w:rFonts w:ascii="Segoe UI" w:eastAsia="Times New Roman" w:hAnsi="Segoe UI" w:cs="Segoe UI"/>
      <w:sz w:val="18"/>
      <w:szCs w:val="18"/>
      <w:lang w:eastAsia="ru-RU"/>
    </w:rPr>
  </w:style>
  <w:style w:type="paragraph" w:customStyle="1" w:styleId="12">
    <w:name w:val="Стиль1"/>
    <w:basedOn w:val="a"/>
    <w:link w:val="13"/>
    <w:qFormat/>
    <w:rsid w:val="00C0272D"/>
    <w:pPr>
      <w:widowControl/>
      <w:ind w:firstLine="6521"/>
      <w:contextualSpacing/>
      <w:jc w:val="both"/>
    </w:pPr>
    <w:rPr>
      <w:rFonts w:eastAsiaTheme="minorHAnsi"/>
      <w:b/>
      <w:sz w:val="28"/>
      <w:szCs w:val="28"/>
      <w:lang w:val="kk-KZ" w:eastAsia="en-US"/>
    </w:rPr>
  </w:style>
  <w:style w:type="character" w:customStyle="1" w:styleId="13">
    <w:name w:val="Стиль1 Знак"/>
    <w:basedOn w:val="a0"/>
    <w:link w:val="12"/>
    <w:rsid w:val="00C0272D"/>
    <w:rPr>
      <w:rFonts w:ascii="Times New Roman" w:hAnsi="Times New Roman" w:cs="Times New Roman"/>
      <w:b/>
      <w:sz w:val="28"/>
      <w:szCs w:val="28"/>
      <w:lang w:val="kk-KZ"/>
    </w:rPr>
  </w:style>
  <w:style w:type="character" w:styleId="a5">
    <w:name w:val="Hyperlink"/>
    <w:basedOn w:val="a0"/>
    <w:uiPriority w:val="99"/>
    <w:unhideWhenUsed/>
    <w:rsid w:val="0036750B"/>
    <w:rPr>
      <w:color w:val="0563C1" w:themeColor="hyperlink"/>
      <w:u w:val="single"/>
    </w:rPr>
  </w:style>
  <w:style w:type="paragraph" w:styleId="a6">
    <w:name w:val="Normal (Web)"/>
    <w:basedOn w:val="a"/>
    <w:uiPriority w:val="99"/>
    <w:semiHidden/>
    <w:unhideWhenUsed/>
    <w:rsid w:val="00C427E1"/>
    <w:pPr>
      <w:widowControl/>
      <w:autoSpaceDE/>
      <w:autoSpaceDN/>
      <w:adjustRightInd/>
      <w:spacing w:before="100" w:beforeAutospacing="1" w:after="100" w:afterAutospacing="1"/>
    </w:pPr>
    <w:rPr>
      <w:sz w:val="24"/>
      <w:szCs w:val="24"/>
    </w:rPr>
  </w:style>
  <w:style w:type="paragraph" w:styleId="a7">
    <w:name w:val="List Paragraph"/>
    <w:basedOn w:val="a"/>
    <w:uiPriority w:val="34"/>
    <w:qFormat/>
    <w:rsid w:val="00757BDF"/>
    <w:pPr>
      <w:ind w:left="720"/>
      <w:contextualSpacing/>
    </w:pPr>
  </w:style>
  <w:style w:type="paragraph" w:styleId="a8">
    <w:name w:val="header"/>
    <w:basedOn w:val="a"/>
    <w:link w:val="a9"/>
    <w:uiPriority w:val="99"/>
    <w:unhideWhenUsed/>
    <w:rsid w:val="004E1E74"/>
    <w:pPr>
      <w:tabs>
        <w:tab w:val="center" w:pos="4677"/>
        <w:tab w:val="right" w:pos="9355"/>
      </w:tabs>
    </w:pPr>
  </w:style>
  <w:style w:type="character" w:customStyle="1" w:styleId="a9">
    <w:name w:val="Верхний колонтитул Знак"/>
    <w:basedOn w:val="a0"/>
    <w:link w:val="a8"/>
    <w:uiPriority w:val="99"/>
    <w:rsid w:val="004E1E74"/>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4E1E74"/>
    <w:pPr>
      <w:tabs>
        <w:tab w:val="center" w:pos="4677"/>
        <w:tab w:val="right" w:pos="9355"/>
      </w:tabs>
    </w:pPr>
  </w:style>
  <w:style w:type="character" w:customStyle="1" w:styleId="ab">
    <w:name w:val="Нижний колонтитул Знак"/>
    <w:basedOn w:val="a0"/>
    <w:link w:val="aa"/>
    <w:uiPriority w:val="99"/>
    <w:rsid w:val="004E1E74"/>
    <w:rPr>
      <w:rFonts w:ascii="Times New Roman" w:eastAsia="Times New Roman" w:hAnsi="Times New Roman" w:cs="Times New Roman"/>
      <w:sz w:val="20"/>
      <w:szCs w:val="20"/>
      <w:lang w:eastAsia="ru-RU"/>
    </w:rPr>
  </w:style>
  <w:style w:type="paragraph" w:styleId="ac">
    <w:name w:val="No Spacing"/>
    <w:aliases w:val="Обя,Без интервала1,мелкий,мой рабочий,No Spacing,норма,Айгерим,Без интервала11,свой,14 TNR,МОЙ СТИЛЬ,No Spacing1,Без интеБез интервала,исполнитель,No Spacing11,без интервала,Без интервала2,Без интервала111,Без интерваль,Елжан,Дастан1"/>
    <w:uiPriority w:val="1"/>
    <w:qFormat/>
    <w:rsid w:val="001917F2"/>
    <w:pPr>
      <w:spacing w:after="0" w:line="240" w:lineRule="auto"/>
    </w:pPr>
    <w:rPr>
      <w:rFonts w:ascii="Calibri" w:eastAsia="Calibri" w:hAnsi="Calibri" w:cs="Times New Roman"/>
    </w:rPr>
  </w:style>
  <w:style w:type="character" w:customStyle="1" w:styleId="50">
    <w:name w:val="Заголовок 5 Знак"/>
    <w:basedOn w:val="a0"/>
    <w:link w:val="5"/>
    <w:uiPriority w:val="9"/>
    <w:semiHidden/>
    <w:rsid w:val="00495D9B"/>
    <w:rPr>
      <w:rFonts w:asciiTheme="majorHAnsi" w:eastAsiaTheme="majorEastAsia" w:hAnsiTheme="majorHAnsi" w:cstheme="majorBidi"/>
      <w:color w:val="2F5496" w:themeColor="accent1" w:themeShade="BF"/>
      <w:sz w:val="20"/>
      <w:szCs w:val="20"/>
      <w:lang w:eastAsia="ru-RU"/>
    </w:rPr>
  </w:style>
  <w:style w:type="character" w:customStyle="1" w:styleId="10">
    <w:name w:val="Заголовок 1 Знак"/>
    <w:basedOn w:val="a0"/>
    <w:link w:val="1"/>
    <w:uiPriority w:val="9"/>
    <w:rsid w:val="009B0164"/>
    <w:rPr>
      <w:rFonts w:asciiTheme="majorHAnsi" w:eastAsiaTheme="majorEastAsia" w:hAnsiTheme="majorHAnsi" w:cstheme="majorBidi"/>
      <w:color w:val="2F5496" w:themeColor="accent1" w:themeShade="BF"/>
      <w:sz w:val="32"/>
      <w:szCs w:val="32"/>
      <w:lang w:eastAsia="ru-RU"/>
    </w:rPr>
  </w:style>
  <w:style w:type="paragraph" w:customStyle="1" w:styleId="docdata">
    <w:name w:val="docdata"/>
    <w:aliases w:val="docy,v5,6348,bqiaagaaeyqcaaagiaiaaamzgaaabueyaaaaaaaaaaaaaaaaaaaaaaaaaaaaaaaaaaaaaaaaaaaaaaaaaaaaaaaaaaaaaaaaaaaaaaaaaaaaaaaaaaaaaaaaaaaaaaaaaaaaaaaaaaaaaaaaaaaaaaaaaaaaaaaaaaaaaaaaaaaaaaaaaaaaaaaaaaaaaaaaaaaaaaaaaaaaaaaaaaaaaaaaaaaaaaaaaaaaaaaa"/>
    <w:basedOn w:val="a"/>
    <w:rsid w:val="004175B4"/>
    <w:pPr>
      <w:widowControl/>
      <w:autoSpaceDE/>
      <w:autoSpaceDN/>
      <w:adjustRightInd/>
      <w:spacing w:before="100" w:beforeAutospacing="1" w:after="100" w:afterAutospacing="1"/>
    </w:pPr>
    <w:rPr>
      <w:sz w:val="24"/>
      <w:szCs w:val="24"/>
    </w:rPr>
  </w:style>
  <w:style w:type="table" w:styleId="ad">
    <w:name w:val="Table Grid"/>
    <w:basedOn w:val="a1"/>
    <w:uiPriority w:val="39"/>
    <w:rsid w:val="0086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64611">
      <w:bodyDiv w:val="1"/>
      <w:marLeft w:val="0"/>
      <w:marRight w:val="0"/>
      <w:marTop w:val="0"/>
      <w:marBottom w:val="0"/>
      <w:divBdr>
        <w:top w:val="none" w:sz="0" w:space="0" w:color="auto"/>
        <w:left w:val="none" w:sz="0" w:space="0" w:color="auto"/>
        <w:bottom w:val="none" w:sz="0" w:space="0" w:color="auto"/>
        <w:right w:val="none" w:sz="0" w:space="0" w:color="auto"/>
      </w:divBdr>
    </w:div>
    <w:div w:id="144207617">
      <w:bodyDiv w:val="1"/>
      <w:marLeft w:val="0"/>
      <w:marRight w:val="0"/>
      <w:marTop w:val="0"/>
      <w:marBottom w:val="0"/>
      <w:divBdr>
        <w:top w:val="none" w:sz="0" w:space="0" w:color="auto"/>
        <w:left w:val="none" w:sz="0" w:space="0" w:color="auto"/>
        <w:bottom w:val="none" w:sz="0" w:space="0" w:color="auto"/>
        <w:right w:val="none" w:sz="0" w:space="0" w:color="auto"/>
      </w:divBdr>
    </w:div>
    <w:div w:id="146479845">
      <w:bodyDiv w:val="1"/>
      <w:marLeft w:val="0"/>
      <w:marRight w:val="0"/>
      <w:marTop w:val="0"/>
      <w:marBottom w:val="0"/>
      <w:divBdr>
        <w:top w:val="none" w:sz="0" w:space="0" w:color="auto"/>
        <w:left w:val="none" w:sz="0" w:space="0" w:color="auto"/>
        <w:bottom w:val="none" w:sz="0" w:space="0" w:color="auto"/>
        <w:right w:val="none" w:sz="0" w:space="0" w:color="auto"/>
      </w:divBdr>
    </w:div>
    <w:div w:id="168371975">
      <w:bodyDiv w:val="1"/>
      <w:marLeft w:val="0"/>
      <w:marRight w:val="0"/>
      <w:marTop w:val="0"/>
      <w:marBottom w:val="0"/>
      <w:divBdr>
        <w:top w:val="none" w:sz="0" w:space="0" w:color="auto"/>
        <w:left w:val="none" w:sz="0" w:space="0" w:color="auto"/>
        <w:bottom w:val="none" w:sz="0" w:space="0" w:color="auto"/>
        <w:right w:val="none" w:sz="0" w:space="0" w:color="auto"/>
      </w:divBdr>
    </w:div>
    <w:div w:id="171799758">
      <w:bodyDiv w:val="1"/>
      <w:marLeft w:val="0"/>
      <w:marRight w:val="0"/>
      <w:marTop w:val="0"/>
      <w:marBottom w:val="0"/>
      <w:divBdr>
        <w:top w:val="none" w:sz="0" w:space="0" w:color="auto"/>
        <w:left w:val="none" w:sz="0" w:space="0" w:color="auto"/>
        <w:bottom w:val="none" w:sz="0" w:space="0" w:color="auto"/>
        <w:right w:val="none" w:sz="0" w:space="0" w:color="auto"/>
      </w:divBdr>
    </w:div>
    <w:div w:id="285935071">
      <w:bodyDiv w:val="1"/>
      <w:marLeft w:val="0"/>
      <w:marRight w:val="0"/>
      <w:marTop w:val="0"/>
      <w:marBottom w:val="0"/>
      <w:divBdr>
        <w:top w:val="none" w:sz="0" w:space="0" w:color="auto"/>
        <w:left w:val="none" w:sz="0" w:space="0" w:color="auto"/>
        <w:bottom w:val="none" w:sz="0" w:space="0" w:color="auto"/>
        <w:right w:val="none" w:sz="0" w:space="0" w:color="auto"/>
      </w:divBdr>
    </w:div>
    <w:div w:id="445199573">
      <w:bodyDiv w:val="1"/>
      <w:marLeft w:val="0"/>
      <w:marRight w:val="0"/>
      <w:marTop w:val="0"/>
      <w:marBottom w:val="0"/>
      <w:divBdr>
        <w:top w:val="none" w:sz="0" w:space="0" w:color="auto"/>
        <w:left w:val="none" w:sz="0" w:space="0" w:color="auto"/>
        <w:bottom w:val="none" w:sz="0" w:space="0" w:color="auto"/>
        <w:right w:val="none" w:sz="0" w:space="0" w:color="auto"/>
      </w:divBdr>
    </w:div>
    <w:div w:id="534463181">
      <w:bodyDiv w:val="1"/>
      <w:marLeft w:val="0"/>
      <w:marRight w:val="0"/>
      <w:marTop w:val="0"/>
      <w:marBottom w:val="0"/>
      <w:divBdr>
        <w:top w:val="none" w:sz="0" w:space="0" w:color="auto"/>
        <w:left w:val="none" w:sz="0" w:space="0" w:color="auto"/>
        <w:bottom w:val="none" w:sz="0" w:space="0" w:color="auto"/>
        <w:right w:val="none" w:sz="0" w:space="0" w:color="auto"/>
      </w:divBdr>
    </w:div>
    <w:div w:id="634919392">
      <w:bodyDiv w:val="1"/>
      <w:marLeft w:val="0"/>
      <w:marRight w:val="0"/>
      <w:marTop w:val="0"/>
      <w:marBottom w:val="0"/>
      <w:divBdr>
        <w:top w:val="none" w:sz="0" w:space="0" w:color="auto"/>
        <w:left w:val="none" w:sz="0" w:space="0" w:color="auto"/>
        <w:bottom w:val="none" w:sz="0" w:space="0" w:color="auto"/>
        <w:right w:val="none" w:sz="0" w:space="0" w:color="auto"/>
      </w:divBdr>
    </w:div>
    <w:div w:id="789127540">
      <w:bodyDiv w:val="1"/>
      <w:marLeft w:val="0"/>
      <w:marRight w:val="0"/>
      <w:marTop w:val="0"/>
      <w:marBottom w:val="0"/>
      <w:divBdr>
        <w:top w:val="none" w:sz="0" w:space="0" w:color="auto"/>
        <w:left w:val="none" w:sz="0" w:space="0" w:color="auto"/>
        <w:bottom w:val="none" w:sz="0" w:space="0" w:color="auto"/>
        <w:right w:val="none" w:sz="0" w:space="0" w:color="auto"/>
      </w:divBdr>
    </w:div>
    <w:div w:id="801769404">
      <w:bodyDiv w:val="1"/>
      <w:marLeft w:val="0"/>
      <w:marRight w:val="0"/>
      <w:marTop w:val="0"/>
      <w:marBottom w:val="0"/>
      <w:divBdr>
        <w:top w:val="none" w:sz="0" w:space="0" w:color="auto"/>
        <w:left w:val="none" w:sz="0" w:space="0" w:color="auto"/>
        <w:bottom w:val="none" w:sz="0" w:space="0" w:color="auto"/>
        <w:right w:val="none" w:sz="0" w:space="0" w:color="auto"/>
      </w:divBdr>
    </w:div>
    <w:div w:id="858279603">
      <w:bodyDiv w:val="1"/>
      <w:marLeft w:val="0"/>
      <w:marRight w:val="0"/>
      <w:marTop w:val="0"/>
      <w:marBottom w:val="0"/>
      <w:divBdr>
        <w:top w:val="none" w:sz="0" w:space="0" w:color="auto"/>
        <w:left w:val="none" w:sz="0" w:space="0" w:color="auto"/>
        <w:bottom w:val="none" w:sz="0" w:space="0" w:color="auto"/>
        <w:right w:val="none" w:sz="0" w:space="0" w:color="auto"/>
      </w:divBdr>
      <w:divsChild>
        <w:div w:id="284771839">
          <w:marLeft w:val="0"/>
          <w:marRight w:val="0"/>
          <w:marTop w:val="0"/>
          <w:marBottom w:val="0"/>
          <w:divBdr>
            <w:top w:val="none" w:sz="0" w:space="0" w:color="auto"/>
            <w:left w:val="none" w:sz="0" w:space="0" w:color="auto"/>
            <w:bottom w:val="none" w:sz="0" w:space="0" w:color="auto"/>
            <w:right w:val="none" w:sz="0" w:space="0" w:color="auto"/>
          </w:divBdr>
        </w:div>
        <w:div w:id="1824545449">
          <w:marLeft w:val="0"/>
          <w:marRight w:val="0"/>
          <w:marTop w:val="0"/>
          <w:marBottom w:val="0"/>
          <w:divBdr>
            <w:top w:val="none" w:sz="0" w:space="0" w:color="auto"/>
            <w:left w:val="none" w:sz="0" w:space="0" w:color="auto"/>
            <w:bottom w:val="none" w:sz="0" w:space="0" w:color="auto"/>
            <w:right w:val="none" w:sz="0" w:space="0" w:color="auto"/>
          </w:divBdr>
        </w:div>
        <w:div w:id="570584852">
          <w:marLeft w:val="0"/>
          <w:marRight w:val="0"/>
          <w:marTop w:val="0"/>
          <w:marBottom w:val="0"/>
          <w:divBdr>
            <w:top w:val="none" w:sz="0" w:space="0" w:color="auto"/>
            <w:left w:val="none" w:sz="0" w:space="0" w:color="auto"/>
            <w:bottom w:val="none" w:sz="0" w:space="0" w:color="auto"/>
            <w:right w:val="none" w:sz="0" w:space="0" w:color="auto"/>
          </w:divBdr>
        </w:div>
        <w:div w:id="1947617048">
          <w:marLeft w:val="0"/>
          <w:marRight w:val="0"/>
          <w:marTop w:val="0"/>
          <w:marBottom w:val="0"/>
          <w:divBdr>
            <w:top w:val="none" w:sz="0" w:space="0" w:color="auto"/>
            <w:left w:val="none" w:sz="0" w:space="0" w:color="auto"/>
            <w:bottom w:val="none" w:sz="0" w:space="0" w:color="auto"/>
            <w:right w:val="none" w:sz="0" w:space="0" w:color="auto"/>
          </w:divBdr>
        </w:div>
        <w:div w:id="308554531">
          <w:marLeft w:val="0"/>
          <w:marRight w:val="0"/>
          <w:marTop w:val="0"/>
          <w:marBottom w:val="0"/>
          <w:divBdr>
            <w:top w:val="none" w:sz="0" w:space="0" w:color="auto"/>
            <w:left w:val="none" w:sz="0" w:space="0" w:color="auto"/>
            <w:bottom w:val="none" w:sz="0" w:space="0" w:color="auto"/>
            <w:right w:val="none" w:sz="0" w:space="0" w:color="auto"/>
          </w:divBdr>
        </w:div>
        <w:div w:id="39129790">
          <w:marLeft w:val="0"/>
          <w:marRight w:val="0"/>
          <w:marTop w:val="0"/>
          <w:marBottom w:val="0"/>
          <w:divBdr>
            <w:top w:val="none" w:sz="0" w:space="0" w:color="auto"/>
            <w:left w:val="none" w:sz="0" w:space="0" w:color="auto"/>
            <w:bottom w:val="none" w:sz="0" w:space="0" w:color="auto"/>
            <w:right w:val="none" w:sz="0" w:space="0" w:color="auto"/>
          </w:divBdr>
        </w:div>
        <w:div w:id="577786430">
          <w:marLeft w:val="0"/>
          <w:marRight w:val="0"/>
          <w:marTop w:val="0"/>
          <w:marBottom w:val="0"/>
          <w:divBdr>
            <w:top w:val="none" w:sz="0" w:space="0" w:color="auto"/>
            <w:left w:val="none" w:sz="0" w:space="0" w:color="auto"/>
            <w:bottom w:val="none" w:sz="0" w:space="0" w:color="auto"/>
            <w:right w:val="none" w:sz="0" w:space="0" w:color="auto"/>
          </w:divBdr>
        </w:div>
      </w:divsChild>
    </w:div>
    <w:div w:id="978221037">
      <w:bodyDiv w:val="1"/>
      <w:marLeft w:val="0"/>
      <w:marRight w:val="0"/>
      <w:marTop w:val="0"/>
      <w:marBottom w:val="0"/>
      <w:divBdr>
        <w:top w:val="none" w:sz="0" w:space="0" w:color="auto"/>
        <w:left w:val="none" w:sz="0" w:space="0" w:color="auto"/>
        <w:bottom w:val="none" w:sz="0" w:space="0" w:color="auto"/>
        <w:right w:val="none" w:sz="0" w:space="0" w:color="auto"/>
      </w:divBdr>
    </w:div>
    <w:div w:id="1076708991">
      <w:bodyDiv w:val="1"/>
      <w:marLeft w:val="0"/>
      <w:marRight w:val="0"/>
      <w:marTop w:val="0"/>
      <w:marBottom w:val="0"/>
      <w:divBdr>
        <w:top w:val="none" w:sz="0" w:space="0" w:color="auto"/>
        <w:left w:val="none" w:sz="0" w:space="0" w:color="auto"/>
        <w:bottom w:val="none" w:sz="0" w:space="0" w:color="auto"/>
        <w:right w:val="none" w:sz="0" w:space="0" w:color="auto"/>
      </w:divBdr>
    </w:div>
    <w:div w:id="1077090416">
      <w:bodyDiv w:val="1"/>
      <w:marLeft w:val="0"/>
      <w:marRight w:val="0"/>
      <w:marTop w:val="0"/>
      <w:marBottom w:val="0"/>
      <w:divBdr>
        <w:top w:val="none" w:sz="0" w:space="0" w:color="auto"/>
        <w:left w:val="none" w:sz="0" w:space="0" w:color="auto"/>
        <w:bottom w:val="none" w:sz="0" w:space="0" w:color="auto"/>
        <w:right w:val="none" w:sz="0" w:space="0" w:color="auto"/>
      </w:divBdr>
      <w:divsChild>
        <w:div w:id="819661120">
          <w:marLeft w:val="0"/>
          <w:marRight w:val="0"/>
          <w:marTop w:val="0"/>
          <w:marBottom w:val="0"/>
          <w:divBdr>
            <w:top w:val="none" w:sz="0" w:space="0" w:color="auto"/>
            <w:left w:val="none" w:sz="0" w:space="0" w:color="auto"/>
            <w:bottom w:val="none" w:sz="0" w:space="0" w:color="auto"/>
            <w:right w:val="none" w:sz="0" w:space="0" w:color="auto"/>
          </w:divBdr>
        </w:div>
        <w:div w:id="1560631410">
          <w:marLeft w:val="0"/>
          <w:marRight w:val="0"/>
          <w:marTop w:val="0"/>
          <w:marBottom w:val="0"/>
          <w:divBdr>
            <w:top w:val="none" w:sz="0" w:space="0" w:color="auto"/>
            <w:left w:val="none" w:sz="0" w:space="0" w:color="auto"/>
            <w:bottom w:val="none" w:sz="0" w:space="0" w:color="auto"/>
            <w:right w:val="none" w:sz="0" w:space="0" w:color="auto"/>
          </w:divBdr>
        </w:div>
      </w:divsChild>
    </w:div>
    <w:div w:id="1118573680">
      <w:bodyDiv w:val="1"/>
      <w:marLeft w:val="0"/>
      <w:marRight w:val="0"/>
      <w:marTop w:val="0"/>
      <w:marBottom w:val="0"/>
      <w:divBdr>
        <w:top w:val="none" w:sz="0" w:space="0" w:color="auto"/>
        <w:left w:val="none" w:sz="0" w:space="0" w:color="auto"/>
        <w:bottom w:val="none" w:sz="0" w:space="0" w:color="auto"/>
        <w:right w:val="none" w:sz="0" w:space="0" w:color="auto"/>
      </w:divBdr>
    </w:div>
    <w:div w:id="1402026829">
      <w:bodyDiv w:val="1"/>
      <w:marLeft w:val="0"/>
      <w:marRight w:val="0"/>
      <w:marTop w:val="0"/>
      <w:marBottom w:val="0"/>
      <w:divBdr>
        <w:top w:val="none" w:sz="0" w:space="0" w:color="auto"/>
        <w:left w:val="none" w:sz="0" w:space="0" w:color="auto"/>
        <w:bottom w:val="none" w:sz="0" w:space="0" w:color="auto"/>
        <w:right w:val="none" w:sz="0" w:space="0" w:color="auto"/>
      </w:divBdr>
    </w:div>
    <w:div w:id="1472283875">
      <w:bodyDiv w:val="1"/>
      <w:marLeft w:val="0"/>
      <w:marRight w:val="0"/>
      <w:marTop w:val="0"/>
      <w:marBottom w:val="0"/>
      <w:divBdr>
        <w:top w:val="none" w:sz="0" w:space="0" w:color="auto"/>
        <w:left w:val="none" w:sz="0" w:space="0" w:color="auto"/>
        <w:bottom w:val="none" w:sz="0" w:space="0" w:color="auto"/>
        <w:right w:val="none" w:sz="0" w:space="0" w:color="auto"/>
      </w:divBdr>
    </w:div>
    <w:div w:id="1613437930">
      <w:bodyDiv w:val="1"/>
      <w:marLeft w:val="0"/>
      <w:marRight w:val="0"/>
      <w:marTop w:val="0"/>
      <w:marBottom w:val="0"/>
      <w:divBdr>
        <w:top w:val="none" w:sz="0" w:space="0" w:color="auto"/>
        <w:left w:val="none" w:sz="0" w:space="0" w:color="auto"/>
        <w:bottom w:val="none" w:sz="0" w:space="0" w:color="auto"/>
        <w:right w:val="none" w:sz="0" w:space="0" w:color="auto"/>
      </w:divBdr>
    </w:div>
    <w:div w:id="1639535367">
      <w:bodyDiv w:val="1"/>
      <w:marLeft w:val="0"/>
      <w:marRight w:val="0"/>
      <w:marTop w:val="0"/>
      <w:marBottom w:val="0"/>
      <w:divBdr>
        <w:top w:val="none" w:sz="0" w:space="0" w:color="auto"/>
        <w:left w:val="none" w:sz="0" w:space="0" w:color="auto"/>
        <w:bottom w:val="none" w:sz="0" w:space="0" w:color="auto"/>
        <w:right w:val="none" w:sz="0" w:space="0" w:color="auto"/>
      </w:divBdr>
    </w:div>
    <w:div w:id="1676299203">
      <w:bodyDiv w:val="1"/>
      <w:marLeft w:val="0"/>
      <w:marRight w:val="0"/>
      <w:marTop w:val="0"/>
      <w:marBottom w:val="0"/>
      <w:divBdr>
        <w:top w:val="none" w:sz="0" w:space="0" w:color="auto"/>
        <w:left w:val="none" w:sz="0" w:space="0" w:color="auto"/>
        <w:bottom w:val="none" w:sz="0" w:space="0" w:color="auto"/>
        <w:right w:val="none" w:sz="0" w:space="0" w:color="auto"/>
      </w:divBdr>
    </w:div>
    <w:div w:id="1702701062">
      <w:bodyDiv w:val="1"/>
      <w:marLeft w:val="0"/>
      <w:marRight w:val="0"/>
      <w:marTop w:val="0"/>
      <w:marBottom w:val="0"/>
      <w:divBdr>
        <w:top w:val="none" w:sz="0" w:space="0" w:color="auto"/>
        <w:left w:val="none" w:sz="0" w:space="0" w:color="auto"/>
        <w:bottom w:val="none" w:sz="0" w:space="0" w:color="auto"/>
        <w:right w:val="none" w:sz="0" w:space="0" w:color="auto"/>
      </w:divBdr>
    </w:div>
    <w:div w:id="1850101234">
      <w:bodyDiv w:val="1"/>
      <w:marLeft w:val="0"/>
      <w:marRight w:val="0"/>
      <w:marTop w:val="0"/>
      <w:marBottom w:val="0"/>
      <w:divBdr>
        <w:top w:val="none" w:sz="0" w:space="0" w:color="auto"/>
        <w:left w:val="none" w:sz="0" w:space="0" w:color="auto"/>
        <w:bottom w:val="none" w:sz="0" w:space="0" w:color="auto"/>
        <w:right w:val="none" w:sz="0" w:space="0" w:color="auto"/>
      </w:divBdr>
    </w:div>
    <w:div w:id="1856648811">
      <w:bodyDiv w:val="1"/>
      <w:marLeft w:val="0"/>
      <w:marRight w:val="0"/>
      <w:marTop w:val="0"/>
      <w:marBottom w:val="0"/>
      <w:divBdr>
        <w:top w:val="none" w:sz="0" w:space="0" w:color="auto"/>
        <w:left w:val="none" w:sz="0" w:space="0" w:color="auto"/>
        <w:bottom w:val="none" w:sz="0" w:space="0" w:color="auto"/>
        <w:right w:val="none" w:sz="0" w:space="0" w:color="auto"/>
      </w:divBdr>
      <w:divsChild>
        <w:div w:id="1864632463">
          <w:marLeft w:val="0"/>
          <w:marRight w:val="0"/>
          <w:marTop w:val="0"/>
          <w:marBottom w:val="0"/>
          <w:divBdr>
            <w:top w:val="none" w:sz="0" w:space="0" w:color="auto"/>
            <w:left w:val="none" w:sz="0" w:space="0" w:color="auto"/>
            <w:bottom w:val="none" w:sz="0" w:space="0" w:color="auto"/>
            <w:right w:val="none" w:sz="0" w:space="0" w:color="auto"/>
          </w:divBdr>
        </w:div>
        <w:div w:id="1325742565">
          <w:marLeft w:val="0"/>
          <w:marRight w:val="0"/>
          <w:marTop w:val="0"/>
          <w:marBottom w:val="0"/>
          <w:divBdr>
            <w:top w:val="none" w:sz="0" w:space="0" w:color="auto"/>
            <w:left w:val="none" w:sz="0" w:space="0" w:color="auto"/>
            <w:bottom w:val="none" w:sz="0" w:space="0" w:color="auto"/>
            <w:right w:val="none" w:sz="0" w:space="0" w:color="auto"/>
          </w:divBdr>
        </w:div>
        <w:div w:id="599720451">
          <w:marLeft w:val="0"/>
          <w:marRight w:val="0"/>
          <w:marTop w:val="0"/>
          <w:marBottom w:val="0"/>
          <w:divBdr>
            <w:top w:val="none" w:sz="0" w:space="0" w:color="auto"/>
            <w:left w:val="none" w:sz="0" w:space="0" w:color="auto"/>
            <w:bottom w:val="none" w:sz="0" w:space="0" w:color="auto"/>
            <w:right w:val="none" w:sz="0" w:space="0" w:color="auto"/>
          </w:divBdr>
        </w:div>
        <w:div w:id="730348824">
          <w:marLeft w:val="0"/>
          <w:marRight w:val="0"/>
          <w:marTop w:val="0"/>
          <w:marBottom w:val="0"/>
          <w:divBdr>
            <w:top w:val="none" w:sz="0" w:space="0" w:color="auto"/>
            <w:left w:val="none" w:sz="0" w:space="0" w:color="auto"/>
            <w:bottom w:val="none" w:sz="0" w:space="0" w:color="auto"/>
            <w:right w:val="none" w:sz="0" w:space="0" w:color="auto"/>
          </w:divBdr>
        </w:div>
        <w:div w:id="1420718438">
          <w:marLeft w:val="0"/>
          <w:marRight w:val="0"/>
          <w:marTop w:val="0"/>
          <w:marBottom w:val="0"/>
          <w:divBdr>
            <w:top w:val="none" w:sz="0" w:space="0" w:color="auto"/>
            <w:left w:val="none" w:sz="0" w:space="0" w:color="auto"/>
            <w:bottom w:val="none" w:sz="0" w:space="0" w:color="auto"/>
            <w:right w:val="none" w:sz="0" w:space="0" w:color="auto"/>
          </w:divBdr>
        </w:div>
        <w:div w:id="2015716902">
          <w:marLeft w:val="0"/>
          <w:marRight w:val="0"/>
          <w:marTop w:val="0"/>
          <w:marBottom w:val="0"/>
          <w:divBdr>
            <w:top w:val="none" w:sz="0" w:space="0" w:color="auto"/>
            <w:left w:val="none" w:sz="0" w:space="0" w:color="auto"/>
            <w:bottom w:val="none" w:sz="0" w:space="0" w:color="auto"/>
            <w:right w:val="none" w:sz="0" w:space="0" w:color="auto"/>
          </w:divBdr>
        </w:div>
        <w:div w:id="1659845968">
          <w:marLeft w:val="0"/>
          <w:marRight w:val="0"/>
          <w:marTop w:val="0"/>
          <w:marBottom w:val="0"/>
          <w:divBdr>
            <w:top w:val="none" w:sz="0" w:space="0" w:color="auto"/>
            <w:left w:val="none" w:sz="0" w:space="0" w:color="auto"/>
            <w:bottom w:val="none" w:sz="0" w:space="0" w:color="auto"/>
            <w:right w:val="none" w:sz="0" w:space="0" w:color="auto"/>
          </w:divBdr>
        </w:div>
        <w:div w:id="938147914">
          <w:marLeft w:val="0"/>
          <w:marRight w:val="0"/>
          <w:marTop w:val="0"/>
          <w:marBottom w:val="0"/>
          <w:divBdr>
            <w:top w:val="none" w:sz="0" w:space="0" w:color="auto"/>
            <w:left w:val="none" w:sz="0" w:space="0" w:color="auto"/>
            <w:bottom w:val="none" w:sz="0" w:space="0" w:color="auto"/>
            <w:right w:val="none" w:sz="0" w:space="0" w:color="auto"/>
          </w:divBdr>
        </w:div>
        <w:div w:id="237521386">
          <w:marLeft w:val="0"/>
          <w:marRight w:val="0"/>
          <w:marTop w:val="0"/>
          <w:marBottom w:val="0"/>
          <w:divBdr>
            <w:top w:val="none" w:sz="0" w:space="0" w:color="auto"/>
            <w:left w:val="none" w:sz="0" w:space="0" w:color="auto"/>
            <w:bottom w:val="none" w:sz="0" w:space="0" w:color="auto"/>
            <w:right w:val="none" w:sz="0" w:space="0" w:color="auto"/>
          </w:divBdr>
        </w:div>
        <w:div w:id="1028456506">
          <w:marLeft w:val="0"/>
          <w:marRight w:val="0"/>
          <w:marTop w:val="0"/>
          <w:marBottom w:val="0"/>
          <w:divBdr>
            <w:top w:val="none" w:sz="0" w:space="0" w:color="auto"/>
            <w:left w:val="none" w:sz="0" w:space="0" w:color="auto"/>
            <w:bottom w:val="none" w:sz="0" w:space="0" w:color="auto"/>
            <w:right w:val="none" w:sz="0" w:space="0" w:color="auto"/>
          </w:divBdr>
        </w:div>
        <w:div w:id="1030103442">
          <w:marLeft w:val="0"/>
          <w:marRight w:val="0"/>
          <w:marTop w:val="0"/>
          <w:marBottom w:val="0"/>
          <w:divBdr>
            <w:top w:val="none" w:sz="0" w:space="0" w:color="auto"/>
            <w:left w:val="none" w:sz="0" w:space="0" w:color="auto"/>
            <w:bottom w:val="none" w:sz="0" w:space="0" w:color="auto"/>
            <w:right w:val="none" w:sz="0" w:space="0" w:color="auto"/>
          </w:divBdr>
        </w:div>
        <w:div w:id="1609040257">
          <w:marLeft w:val="0"/>
          <w:marRight w:val="0"/>
          <w:marTop w:val="0"/>
          <w:marBottom w:val="0"/>
          <w:divBdr>
            <w:top w:val="none" w:sz="0" w:space="0" w:color="auto"/>
            <w:left w:val="none" w:sz="0" w:space="0" w:color="auto"/>
            <w:bottom w:val="none" w:sz="0" w:space="0" w:color="auto"/>
            <w:right w:val="none" w:sz="0" w:space="0" w:color="auto"/>
          </w:divBdr>
        </w:div>
        <w:div w:id="1179194658">
          <w:marLeft w:val="0"/>
          <w:marRight w:val="0"/>
          <w:marTop w:val="0"/>
          <w:marBottom w:val="0"/>
          <w:divBdr>
            <w:top w:val="none" w:sz="0" w:space="0" w:color="auto"/>
            <w:left w:val="none" w:sz="0" w:space="0" w:color="auto"/>
            <w:bottom w:val="none" w:sz="0" w:space="0" w:color="auto"/>
            <w:right w:val="none" w:sz="0" w:space="0" w:color="auto"/>
          </w:divBdr>
        </w:div>
        <w:div w:id="940994877">
          <w:marLeft w:val="0"/>
          <w:marRight w:val="0"/>
          <w:marTop w:val="0"/>
          <w:marBottom w:val="0"/>
          <w:divBdr>
            <w:top w:val="none" w:sz="0" w:space="0" w:color="auto"/>
            <w:left w:val="none" w:sz="0" w:space="0" w:color="auto"/>
            <w:bottom w:val="none" w:sz="0" w:space="0" w:color="auto"/>
            <w:right w:val="none" w:sz="0" w:space="0" w:color="auto"/>
          </w:divBdr>
        </w:div>
        <w:div w:id="1661158728">
          <w:marLeft w:val="0"/>
          <w:marRight w:val="0"/>
          <w:marTop w:val="0"/>
          <w:marBottom w:val="0"/>
          <w:divBdr>
            <w:top w:val="none" w:sz="0" w:space="0" w:color="auto"/>
            <w:left w:val="none" w:sz="0" w:space="0" w:color="auto"/>
            <w:bottom w:val="none" w:sz="0" w:space="0" w:color="auto"/>
            <w:right w:val="none" w:sz="0" w:space="0" w:color="auto"/>
          </w:divBdr>
        </w:div>
        <w:div w:id="56250971">
          <w:marLeft w:val="0"/>
          <w:marRight w:val="0"/>
          <w:marTop w:val="0"/>
          <w:marBottom w:val="0"/>
          <w:divBdr>
            <w:top w:val="none" w:sz="0" w:space="0" w:color="auto"/>
            <w:left w:val="none" w:sz="0" w:space="0" w:color="auto"/>
            <w:bottom w:val="none" w:sz="0" w:space="0" w:color="auto"/>
            <w:right w:val="none" w:sz="0" w:space="0" w:color="auto"/>
          </w:divBdr>
        </w:div>
        <w:div w:id="400904202">
          <w:marLeft w:val="0"/>
          <w:marRight w:val="0"/>
          <w:marTop w:val="0"/>
          <w:marBottom w:val="0"/>
          <w:divBdr>
            <w:top w:val="none" w:sz="0" w:space="0" w:color="auto"/>
            <w:left w:val="none" w:sz="0" w:space="0" w:color="auto"/>
            <w:bottom w:val="none" w:sz="0" w:space="0" w:color="auto"/>
            <w:right w:val="none" w:sz="0" w:space="0" w:color="auto"/>
          </w:divBdr>
        </w:div>
        <w:div w:id="1098985276">
          <w:marLeft w:val="0"/>
          <w:marRight w:val="0"/>
          <w:marTop w:val="0"/>
          <w:marBottom w:val="0"/>
          <w:divBdr>
            <w:top w:val="none" w:sz="0" w:space="0" w:color="auto"/>
            <w:left w:val="none" w:sz="0" w:space="0" w:color="auto"/>
            <w:bottom w:val="none" w:sz="0" w:space="0" w:color="auto"/>
            <w:right w:val="none" w:sz="0" w:space="0" w:color="auto"/>
          </w:divBdr>
        </w:div>
        <w:div w:id="529146398">
          <w:marLeft w:val="0"/>
          <w:marRight w:val="0"/>
          <w:marTop w:val="0"/>
          <w:marBottom w:val="0"/>
          <w:divBdr>
            <w:top w:val="none" w:sz="0" w:space="0" w:color="auto"/>
            <w:left w:val="none" w:sz="0" w:space="0" w:color="auto"/>
            <w:bottom w:val="none" w:sz="0" w:space="0" w:color="auto"/>
            <w:right w:val="none" w:sz="0" w:space="0" w:color="auto"/>
          </w:divBdr>
        </w:div>
      </w:divsChild>
    </w:div>
    <w:div w:id="1882858935">
      <w:bodyDiv w:val="1"/>
      <w:marLeft w:val="0"/>
      <w:marRight w:val="0"/>
      <w:marTop w:val="0"/>
      <w:marBottom w:val="0"/>
      <w:divBdr>
        <w:top w:val="none" w:sz="0" w:space="0" w:color="auto"/>
        <w:left w:val="none" w:sz="0" w:space="0" w:color="auto"/>
        <w:bottom w:val="none" w:sz="0" w:space="0" w:color="auto"/>
        <w:right w:val="none" w:sz="0" w:space="0" w:color="auto"/>
      </w:divBdr>
    </w:div>
    <w:div w:id="1905414465">
      <w:bodyDiv w:val="1"/>
      <w:marLeft w:val="0"/>
      <w:marRight w:val="0"/>
      <w:marTop w:val="0"/>
      <w:marBottom w:val="0"/>
      <w:divBdr>
        <w:top w:val="none" w:sz="0" w:space="0" w:color="auto"/>
        <w:left w:val="none" w:sz="0" w:space="0" w:color="auto"/>
        <w:bottom w:val="none" w:sz="0" w:space="0" w:color="auto"/>
        <w:right w:val="none" w:sz="0" w:space="0" w:color="auto"/>
      </w:divBdr>
    </w:div>
    <w:div w:id="2087265315">
      <w:bodyDiv w:val="1"/>
      <w:marLeft w:val="0"/>
      <w:marRight w:val="0"/>
      <w:marTop w:val="0"/>
      <w:marBottom w:val="0"/>
      <w:divBdr>
        <w:top w:val="none" w:sz="0" w:space="0" w:color="auto"/>
        <w:left w:val="none" w:sz="0" w:space="0" w:color="auto"/>
        <w:bottom w:val="none" w:sz="0" w:space="0" w:color="auto"/>
        <w:right w:val="none" w:sz="0" w:space="0" w:color="auto"/>
      </w:divBdr>
    </w:div>
    <w:div w:id="210137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8C9D8-23F8-477F-A372-FE6F9320E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3616</TotalTime>
  <Pages>5</Pages>
  <Words>1104</Words>
  <Characters>6295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Жанат Бижанов</dc:creator>
  <cp:lastModifiedBy>Бахытжан Рахимбаев</cp:lastModifiedBy>
  <cp:revision>108</cp:revision>
  <cp:lastPrinted>2025-11-20T13:05:00Z</cp:lastPrinted>
  <dcterms:created xsi:type="dcterms:W3CDTF">2022-07-16T07:08:00Z</dcterms:created>
  <dcterms:modified xsi:type="dcterms:W3CDTF">2026-07-29T10:47:00Z</dcterms:modified>
  <dc:title>Қаржы мониторингі субъектілерінің санаттары және ЭҚЖЖ</dc:title>
  <dc:subject>Қаржы мониторингі субъектілеріне сәйкес ЭҚЖЖ кодтарының тізімі</dc:subject>
</cp:coreProperties>
</file>